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Service Menu Builder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service menu worksheet for turning clinical offers into clear client-facing options.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Purpose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to build a service menu that is easy to explain, easy to schedule, and aligned with billing/payment workflows.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Primary audience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Core offer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Signature service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Service Menu Draft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Service Name</w:t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Who It Is For</w:t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What Is Included</w:t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Price/Billing Path</w:t>
            </w:r>
          </w:p>
        </w:tc>
        <w:tc>
          <w:tcPr>
            <w:tcW w:type="dxa" w:w="1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0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Menu Clarity Check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Planning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 / Decision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Can a parent quickly tell which service they need?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Does every service have a clear setting, length, and next step?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Are insurance-covered and private-pay services separated clearly?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Does the menu avoid promising outcomes that cannot be guaranteed?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  ☐ No  ☐ Unsure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Review Prompts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Best decision from this worksheet: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Biggest concern: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Next step: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Review date: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worksheet is a planning tool. Adapt it to the practice model, payer requirements, state rules, client population, and owner capacity.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Service Menu Builder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Menu Builder</dc:title>
  <dc:creator>Codex</dc:creator>
  <dc:description>IBCLC practice guide Service Menu Builder</dc:description>
  <cp:lastModifiedBy>Un-named</cp:lastModifiedBy>
  <cp:revision>1</cp:revision>
  <dcterms:created xsi:type="dcterms:W3CDTF">2026-06-30T19:06:02.491Z</dcterms:created>
  <dcterms:modified xsi:type="dcterms:W3CDTF">2026-06-30T19:06:02.491Z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