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keepNext/>
        <w:spacing w:after="80" w:before="0" w:line="300"/>
      </w:pPr>
      <w:r>
        <w:rPr>
          <w:rFonts w:ascii="Calibri" w:cs="Calibri" w:eastAsia="Calibri" w:hAnsi="Calibri"/>
          <w:b/>
          <w:bCs/>
          <w:i w:val="false"/>
          <w:iCs w:val="false"/>
          <w:color w:val="1F4D78"/>
          <w:sz w:val="36"/>
          <w:szCs w:val="36"/>
        </w:rPr>
        <w:t xml:space="preserve">Insurance Portal Login Tracker</w:t>
      </w:r>
    </w:p>
    <w:p>
      <w:pPr>
        <w:spacing w:after="200" w:before="0" w:line="3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B6472"/>
          <w:sz w:val="22"/>
          <w:szCs w:val="22"/>
        </w:rPr>
        <w:t xml:space="preserve">A secure inventory worksheet for payer, clearinghouse, CAQH, and enrollment portals.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</w:tblGrid>
      <w:tr>
        <w:tc>
          <w:tcPr>
            <w:tcW w:type="dxa" w:w="9360"/>
            <w:tcBorders>
              <w:top w:val="single" w:color="E6D6A8" w:sz="6"/>
              <w:left w:val="single" w:color="E6D6A8" w:sz="6"/>
              <w:bottom w:val="single" w:color="E6D6A8" w:sz="6"/>
              <w:right w:val="single" w:color="E6D6A8" w:sz="6"/>
            </w:tcBorders>
            <w:shd w:fill="FFF8E8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50" w:before="0" w:line="30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1"/>
                <w:szCs w:val="21"/>
              </w:rPr>
              <w:t xml:space="preserve">Important note</w:t>
            </w:r>
          </w:p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20"/>
                <w:szCs w:val="20"/>
              </w:rPr>
              <w:t xml:space="preserve">Do not store passwords directly in this document. Use a password manager and record only where the login is stored, who owns it, and how access is recovered.</w:t>
            </w:r>
          </w:p>
        </w:tc>
      </w:tr>
    </w:tbl>
    <w:p>
      <w:pPr>
        <w:pStyle w:val="Heading1"/>
        <w:keepNext/>
        <w:spacing w:after="200" w:before="360" w:line="300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32"/>
          <w:szCs w:val="32"/>
        </w:rPr>
        <w:t xml:space="preserve">Practice Snapshot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dxa" w:w="27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shd w:fill="F4F6F9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6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Practice name</w:t>
            </w:r>
          </w:p>
        </w:tc>
        <w:tc>
          <w:tcPr>
            <w:tcW w:type="dxa" w:w="666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110" w:before="0" w:line="26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7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shd w:fill="F4F6F9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6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Password manager</w:t>
            </w:r>
          </w:p>
        </w:tc>
        <w:tc>
          <w:tcPr>
            <w:tcW w:type="dxa" w:w="666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110" w:before="0" w:line="26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7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shd w:fill="F4F6F9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6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Access owner</w:t>
            </w:r>
          </w:p>
        </w:tc>
        <w:tc>
          <w:tcPr>
            <w:tcW w:type="dxa" w:w="666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110" w:before="0" w:line="26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7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shd w:fill="F4F6F9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6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Review date</w:t>
            </w:r>
          </w:p>
        </w:tc>
        <w:tc>
          <w:tcPr>
            <w:tcW w:type="dxa" w:w="666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110" w:before="0" w:line="26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20"/>
                <w:szCs w:val="20"/>
              </w:rPr>
              <w:t xml:space="preserve"> </w:t>
            </w:r>
          </w:p>
        </w:tc>
      </w:tr>
    </w:tbl>
    <w:p>
      <w:pPr>
        <w:pStyle w:val="Heading1"/>
        <w:keepNext/>
        <w:spacing w:after="200" w:before="360" w:line="300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32"/>
          <w:szCs w:val="32"/>
        </w:rPr>
        <w:t xml:space="preserve">Portal Access Checklist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rPr>
          <w:tblHeader/>
        </w:trPr>
        <w:tc>
          <w:tcPr>
            <w:tcW w:type="dxa" w:w="56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shd w:fill="1F4D78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35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Checklist Item</w:t>
            </w:r>
          </w:p>
        </w:tc>
        <w:tc>
          <w:tcPr>
            <w:tcW w:type="dxa" w:w="376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shd w:fill="1F4D78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35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Status / Notes</w:t>
            </w:r>
          </w:p>
        </w:tc>
      </w:tr>
      <w:tr>
        <w:tc>
          <w:tcPr>
            <w:tcW w:type="dxa" w:w="56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shd w:fill="F4F6F9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2933"/>
                <w:sz w:val="18"/>
                <w:szCs w:val="18"/>
              </w:rPr>
              <w:t xml:space="preserve">Every payer, clearinghouse, CAQH, NPPES, PECOS, bank/EFT, ERA, and claims portal is listed.</w:t>
            </w:r>
          </w:p>
        </w:tc>
        <w:tc>
          <w:tcPr>
            <w:tcW w:type="dxa" w:w="376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>☐ Not started  ☐ In progress  ☐ Complete  ☐ N/A
Notes:</w:t>
            </w:r>
          </w:p>
        </w:tc>
      </w:tr>
      <w:tr>
        <w:tc>
          <w:tcPr>
            <w:tcW w:type="dxa" w:w="56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shd w:fill="F4F6F9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2933"/>
                <w:sz w:val="18"/>
                <w:szCs w:val="18"/>
              </w:rPr>
              <w:t xml:space="preserve">Each account has a named owner, backup recovery method, MFA status, and access removal process.</w:t>
            </w:r>
          </w:p>
        </w:tc>
        <w:tc>
          <w:tcPr>
            <w:tcW w:type="dxa" w:w="376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>☐ Not started  ☐ In progress  ☐ Complete  ☐ N/A
Notes:</w:t>
            </w:r>
          </w:p>
        </w:tc>
      </w:tr>
      <w:tr>
        <w:tc>
          <w:tcPr>
            <w:tcW w:type="dxa" w:w="56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shd w:fill="F4F6F9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2933"/>
                <w:sz w:val="18"/>
                <w:szCs w:val="18"/>
              </w:rPr>
              <w:t xml:space="preserve">Shared logins are replaced with individual logins whenever the portal allows it.</w:t>
            </w:r>
          </w:p>
        </w:tc>
        <w:tc>
          <w:tcPr>
            <w:tcW w:type="dxa" w:w="376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>☐ Not started  ☐ In progress  ☐ Complete  ☐ N/A
Notes:</w:t>
            </w:r>
          </w:p>
        </w:tc>
      </w:tr>
    </w:tbl>
    <w:p>
      <w:pPr>
        <w:pStyle w:val="Heading1"/>
        <w:keepNext/>
        <w:spacing w:after="200" w:before="360" w:line="300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32"/>
          <w:szCs w:val="32"/>
        </w:rPr>
        <w:t xml:space="preserve">Portal Tracker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16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shd w:fill="1F4D78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35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Portal</w:t>
            </w:r>
          </w:p>
        </w:tc>
        <w:tc>
          <w:tcPr>
            <w:tcW w:type="dxa" w:w="19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shd w:fill="1F4D78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35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Username/Email</w:t>
            </w:r>
          </w:p>
        </w:tc>
        <w:tc>
          <w:tcPr>
            <w:tcW w:type="dxa" w:w="22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shd w:fill="1F4D78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35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Password Manager Entry</w:t>
            </w:r>
          </w:p>
        </w:tc>
        <w:tc>
          <w:tcPr>
            <w:tcW w:type="dxa" w:w="15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shd w:fill="1F4D78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35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MFA Method</w:t>
            </w:r>
          </w:p>
        </w:tc>
        <w:tc>
          <w:tcPr>
            <w:tcW w:type="dxa" w:w="12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shd w:fill="1F4D78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35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Owner</w:t>
            </w:r>
          </w:p>
        </w:tc>
        <w:tc>
          <w:tcPr>
            <w:tcW w:type="dxa" w:w="96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shd w:fill="1F4D78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35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dxa" w:w="16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shd w:fill="F4F6F9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96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shd w:fill="F4F6F9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96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shd w:fill="F4F6F9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96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shd w:fill="F4F6F9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96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shd w:fill="F4F6F9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96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shd w:fill="F4F6F9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96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shd w:fill="F4F6F9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96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shd w:fill="F4F6F9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96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shd w:fill="F4F6F9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96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shd w:fill="F4F6F9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96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shd w:fill="F4F6F9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96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shd w:fill="F4F6F9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  <w:tc>
          <w:tcPr>
            <w:tcW w:type="dxa" w:w="960"/>
            <w:tcBorders>
              <w:top w:val="single" w:color="C9D3DF" w:sz="6"/>
              <w:left w:val="single" w:color="C9D3DF" w:sz="6"/>
              <w:bottom w:val="single" w:color="C9D3DF" w:sz="6"/>
              <w:right w:val="single" w:color="C9D3DF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0" w:before="0" w:line="235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/>
            </w:r>
          </w:p>
        </w:tc>
      </w:tr>
    </w:tbl>
    <w:p>
      <w:pPr>
        <w:pStyle w:val="Heading1"/>
        <w:keepNext/>
        <w:spacing w:after="200" w:before="360" w:line="300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32"/>
          <w:szCs w:val="32"/>
        </w:rPr>
        <w:t xml:space="preserve">Advisor / Review Questions</w:t>
      </w:r>
    </w:p>
    <w:p>
      <w:pPr>
        <w:spacing w:after="90" w:before="20" w:line="260"/>
      </w:pPr>
      <w:r>
        <w:rPr>
          <w:rFonts w:ascii="Calibri" w:cs="Calibri" w:eastAsia="Calibri" w:hAnsi="Calibri"/>
          <w:b/>
          <w:bCs/>
          <w:i w:val="false"/>
          <w:iCs w:val="false"/>
          <w:color w:val="1F4D78"/>
          <w:sz w:val="20"/>
          <w:szCs w:val="20"/>
        </w:rPr>
        <w:t xml:space="preserve">Who owns this process?: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B6472"/>
          <w:sz w:val="20"/>
          <w:szCs w:val="20"/>
        </w:rPr>
        <w:t xml:space="preserve">____________________________________________________________________________</w:t>
      </w:r>
    </w:p>
    <w:p>
      <w:pPr>
        <w:spacing w:after="90" w:before="20" w:line="260"/>
      </w:pPr>
      <w:r>
        <w:rPr>
          <w:rFonts w:ascii="Calibri" w:cs="Calibri" w:eastAsia="Calibri" w:hAnsi="Calibri"/>
          <w:b/>
          <w:bCs/>
          <w:i w:val="false"/>
          <w:iCs w:val="false"/>
          <w:color w:val="1F4D78"/>
          <w:sz w:val="20"/>
          <w:szCs w:val="20"/>
        </w:rPr>
        <w:t xml:space="preserve">What official source, payer contract, or portal confirms the requirement?: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B6472"/>
          <w:sz w:val="20"/>
          <w:szCs w:val="20"/>
        </w:rPr>
        <w:t xml:space="preserve">____________________________________________________________________________</w:t>
      </w:r>
    </w:p>
    <w:p>
      <w:pPr>
        <w:spacing w:after="90" w:before="20" w:line="260"/>
      </w:pPr>
      <w:r>
        <w:rPr>
          <w:rFonts w:ascii="Calibri" w:cs="Calibri" w:eastAsia="Calibri" w:hAnsi="Calibri"/>
          <w:b/>
          <w:bCs/>
          <w:i w:val="false"/>
          <w:iCs w:val="false"/>
          <w:color w:val="1F4D78"/>
          <w:sz w:val="20"/>
          <w:szCs w:val="20"/>
        </w:rPr>
        <w:t xml:space="preserve">What needs to be reviewed before this document is used with clients, payers, or vendors?: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B6472"/>
          <w:sz w:val="20"/>
          <w:szCs w:val="20"/>
        </w:rPr>
        <w:t xml:space="preserve">____________________________________________________________________________</w:t>
      </w:r>
    </w:p>
    <w:p>
      <w:pPr>
        <w:spacing w:after="90" w:before="20" w:line="260"/>
      </w:pPr>
      <w:r>
        <w:rPr>
          <w:rFonts w:ascii="Calibri" w:cs="Calibri" w:eastAsia="Calibri" w:hAnsi="Calibri"/>
          <w:b/>
          <w:bCs/>
          <w:i w:val="false"/>
          <w:iCs w:val="false"/>
          <w:color w:val="1F4D78"/>
          <w:sz w:val="20"/>
          <w:szCs w:val="20"/>
        </w:rPr>
        <w:t xml:space="preserve">What is the next deadline or follow-up date?: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B6472"/>
          <w:sz w:val="20"/>
          <w:szCs w:val="20"/>
        </w:rPr>
        <w:t xml:space="preserve">____________________________________________________________________________</w:t>
      </w:r>
    </w:p>
    <w:p>
      <w:pPr>
        <w:pStyle w:val="Heading1"/>
        <w:keepNext/>
        <w:spacing w:after="200" w:before="360" w:line="300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32"/>
          <w:szCs w:val="32"/>
        </w:rPr>
        <w:t xml:space="preserve">Source Notes</w:t>
      </w:r>
    </w:p>
    <w:p>
      <w:pPr>
        <w:spacing w:after="100" w:before="0" w:line="2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3"/>
          <w:sz w:val="20"/>
          <w:szCs w:val="20"/>
        </w:rPr>
        <w:t xml:space="preserve">Helpful official reference points: </w:t>
      </w:r>
      <w:hyperlink w:history="1" r:id="rIdnemmuftovamjtutrckquy">
        <w:r>
          <w:rPr>
            <w:rStyle w:val="Hyperlink"/>
            <w:rFonts w:ascii="Calibri" w:cs="Calibri" w:eastAsia="Calibri" w:hAnsi="Calibri"/>
            <w:color w:val="2E74B5"/>
            <w:sz w:val="20"/>
            <w:szCs w:val="20"/>
            <w:u w:val="single"/>
          </w:rPr>
          <w:t xml:space="preserve">CAQH ProView</w:t>
        </w:r>
      </w:hyperlink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3"/>
          <w:sz w:val="20"/>
          <w:szCs w:val="20"/>
        </w:rPr>
        <w:t xml:space="preserve">; </w:t>
      </w:r>
      <w:hyperlink w:history="1" r:id="rIdbj56o_dz35qxibniqvahf">
        <w:r>
          <w:rPr>
            <w:rStyle w:val="Hyperlink"/>
            <w:rFonts w:ascii="Calibri" w:cs="Calibri" w:eastAsia="Calibri" w:hAnsi="Calibri"/>
            <w:color w:val="2E74B5"/>
            <w:sz w:val="20"/>
            <w:szCs w:val="20"/>
            <w:u w:val="single"/>
          </w:rPr>
          <w:t xml:space="preserve">NPPES NPI Registry</w:t>
        </w:r>
      </w:hyperlink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3"/>
          <w:sz w:val="20"/>
          <w:szCs w:val="20"/>
        </w:rPr>
        <w:t xml:space="preserve">; </w:t>
      </w:r>
      <w:hyperlink w:history="1" r:id="rId-r4zebpz0rtimqbu_bizb">
        <w:r>
          <w:rPr>
            <w:rStyle w:val="Hyperlink"/>
            <w:rFonts w:ascii="Calibri" w:cs="Calibri" w:eastAsia="Calibri" w:hAnsi="Calibri"/>
            <w:color w:val="2E74B5"/>
            <w:sz w:val="20"/>
            <w:szCs w:val="20"/>
            <w:u w:val="single"/>
          </w:rPr>
          <w:t xml:space="preserve">CMS PECOS</w:t>
        </w:r>
      </w:hyperlink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3"/>
          <w:sz w:val="20"/>
          <w:szCs w:val="20"/>
        </w:rPr>
        <w:t xml:space="preserve">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</w:tblGrid>
      <w:tr>
        <w:tc>
          <w:tcPr>
            <w:tcW w:type="dxa" w:w="9360"/>
            <w:tcBorders>
              <w:top w:val="single" w:color="E6D6A8" w:sz="6"/>
              <w:left w:val="single" w:color="E6D6A8" w:sz="6"/>
              <w:bottom w:val="single" w:color="E6D6A8" w:sz="6"/>
              <w:right w:val="single" w:color="E6D6A8" w:sz="6"/>
            </w:tcBorders>
            <w:shd w:fill="F4F6F9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top"/>
          </w:tcPr>
          <w:p>
            <w:pPr>
              <w:spacing w:after="50" w:before="0" w:line="30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1"/>
                <w:szCs w:val="21"/>
              </w:rPr>
              <w:t xml:space="preserve">Use with judgment</w:t>
            </w:r>
          </w:p>
          <w:p>
            <w:pPr>
              <w:spacing w:after="0" w:before="0" w:line="28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3"/>
                <w:sz w:val="20"/>
                <w:szCs w:val="20"/>
              </w:rPr>
              <w:t xml:space="preserve">Use this as a planning and tracking tool. Final requirements should be confirmed against payer contracts, official portals, state law, HIPAA guidance, and qualified professional advice for the specific practice.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b w:val="false"/>
        <w:bCs w:val="false"/>
        <w:i w:val="false"/>
        <w:iCs w:val="false"/>
        <w:color w:val="5B6472"/>
        <w:sz w:val="18"/>
        <w:szCs w:val="18"/>
      </w:rPr>
      <w:t xml:space="preserve">Page </w:t>
    </w:r>
    <w:r>
      <w:rPr>
        <w:rFonts w:ascii="Calibri" w:cs="Calibri" w:eastAsia="Calibri" w:hAnsi="Calibri"/>
        <w:color w:val="5B6472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b w:val="false"/>
        <w:bCs w:val="false"/>
        <w:i w:val="false"/>
        <w:iCs w:val="false"/>
        <w:color w:val="5B6472"/>
        <w:sz w:val="18"/>
        <w:szCs w:val="18"/>
      </w:rPr>
      <w:t xml:space="preserve"> of </w:t>
    </w:r>
    <w:r>
      <w:rPr>
        <w:rFonts w:ascii="Calibri" w:cs="Calibri" w:eastAsia="Calibri" w:hAnsi="Calibri"/>
        <w:color w:val="5B6472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60" w:before="0" w:line="300"/>
      <w:jc w:val="right"/>
    </w:pPr>
    <w:r>
      <w:rPr>
        <w:rFonts w:ascii="Calibri" w:cs="Calibri" w:eastAsia="Calibri" w:hAnsi="Calibri"/>
        <w:b w:val="false"/>
        <w:bCs w:val="false"/>
        <w:i w:val="false"/>
        <w:iCs w:val="false"/>
        <w:color w:val="5B6472"/>
        <w:sz w:val="18"/>
        <w:szCs w:val="18"/>
      </w:rPr>
      <w:t xml:space="preserve">IBCLC Practice Guide | Insurance Portal Login Tracker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  <w:rPr>
        <w:rFonts w:ascii="Symbol" w:cs="Symbol" w:eastAsia="Symbol" w:hAnsi="Symbol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Normal">
    <w:name w:val="Normal"/>
    <w:basedOn w:val="Normal"/>
    <w:next w:val="Normal"/>
    <w:pPr>
      <w:spacing w:after="120" w:line="300"/>
    </w:pPr>
    <w:rPr>
      <w:rFonts w:ascii="Calibri" w:cs="Calibri" w:eastAsia="Calibri" w:hAnsi="Calibri"/>
      <w:color w:val="1F2933"/>
      <w:sz w:val="22"/>
      <w:szCs w:val="22"/>
    </w:rPr>
  </w:style>
  <w:style w:type="paragraph" w:styleId="Heading1">
    <w:name w:val="Heading 1"/>
    <w:basedOn w:val="Normal"/>
    <w:next w:val="Normal"/>
    <w:qFormat/>
    <w:pPr>
      <w:keepNext/>
      <w:spacing w:after="200" w:before="360" w:line="300"/>
    </w:pPr>
    <w:rPr>
      <w:rFonts w:ascii="Calibri" w:cs="Calibri" w:eastAsia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after="140" w:before="280" w:line="300"/>
    </w:pPr>
    <w:rPr>
      <w:rFonts w:ascii="Calibri" w:cs="Calibri" w:eastAsia="Calibri" w:hAnsi="Calibri"/>
      <w:b/>
      <w:bCs/>
      <w:color w:val="2E74B5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nemmuftovamjtutrckquy" Type="http://schemas.openxmlformats.org/officeDocument/2006/relationships/hyperlink" Target="https://proview.caqh.org/" TargetMode="External"/><Relationship Id="rIdbj56o_dz35qxibniqvahf" Type="http://schemas.openxmlformats.org/officeDocument/2006/relationships/hyperlink" Target="https://npiregistry.cms.hhs.gov/" TargetMode="External"/><Relationship Id="rId-r4zebpz0rtimqbu_bizb" Type="http://schemas.openxmlformats.org/officeDocument/2006/relationships/hyperlink" Target="https://pecos.cms.hhs.gov/" TargetMode="External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Insurance Portal Login Tracker</dc:title>
  <dc:creator>Codex</dc:creator>
  <dc:description>IBCLC practice guide Insurance Portal Login Tracker</dc:description>
  <cp:lastModifiedBy>Un-named</cp:lastModifiedBy>
  <cp:revision>1</cp:revision>
  <dcterms:created xsi:type="dcterms:W3CDTF">2026-06-30T18:46:41.680Z</dcterms:created>
  <dcterms:modified xsi:type="dcterms:W3CDTF">2026-06-30T18:46:41.680Z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