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keepNext w:val="false"/>
        <w:spacing w:after="70" w:before="0" w:line="300"/>
        <w:jc w:val="left"/>
      </w:pPr>
      <w:r>
        <w:rPr>
          <w:rFonts w:ascii="Calibri" w:cs="Calibri" w:eastAsia="Calibri" w:hAnsi="Calibri"/>
          <w:b/>
          <w:bCs/>
          <w:i w:val="false"/>
          <w:iCs w:val="false"/>
          <w:color w:val="1F4D78"/>
          <w:sz w:val="32"/>
          <w:szCs w:val="32"/>
        </w:rPr>
        <w:t xml:space="preserve">Insurance Billing Glossary</w:t>
      </w:r>
    </w:p>
    <w:p>
      <w:pPr>
        <w:keepNext w:val="false"/>
        <w:spacing w:after="180" w:before="0" w:line="300"/>
        <w:jc w:val="left"/>
      </w:pPr>
      <w:r>
        <w:rPr>
          <w:rFonts w:ascii="Calibri" w:cs="Calibri" w:eastAsia="Calibri" w:hAnsi="Calibri"/>
          <w:b w:val="false"/>
          <w:bCs w:val="false"/>
          <w:i w:val="false"/>
          <w:iCs w:val="false"/>
          <w:color w:val="5B6472"/>
          <w:sz w:val="20"/>
          <w:szCs w:val="20"/>
        </w:rPr>
        <w:t xml:space="preserve">Common billing terms used in claims, payer calls, EOBs, and ERAs.</w:t>
      </w:r>
    </w:p>
    <w:tbl>
      <w:tblPr>
        <w:tblW w:type="dxa" w:w="9360"/>
        <w:tblBorders>
          <w:top w:val="single" w:color="C9D3DF" w:sz="6"/>
          <w:left w:val="single" w:color="C9D3DF" w:sz="6"/>
          <w:bottom w:val="single" w:color="C9D3DF" w:sz="6"/>
          <w:right w:val="single" w:color="C9D3DF" w:sz="6"/>
          <w:insideH w:val="single" w:color="C9D3DF" w:sz="4"/>
          <w:insideV w:val="single" w:color="C9D3DF" w:sz="4"/>
        </w:tblBorders>
        <w:tblCellMar>
          <w:top w:type="dxa" w:w="80"/>
          <w:left w:type="dxa" w:w="120"/>
          <w:bottom w:type="dxa" w:w="80"/>
          <w:right w:type="dxa" w:w="120"/>
        </w:tblCellMar>
      </w:tblPr>
      <w:tblGrid>
        <w:gridCol w:w="100"/>
      </w:tblGrid>
      <w:tr>
        <w:trPr>
          <w:tblHeader w:val="false"/>
        </w:trPr>
        <w:tc>
          <w:tcPr>
            <w:tcW w:type="dxa" w:w="9360"/>
            <w:shd w:fill="E8EEF5" w:color="auto" w:val="clear"/>
            <w:tcMar>
              <w:top w:type="dxa" w:w="100"/>
              <w:left w:type="dxa" w:w="120"/>
              <w:bottom w:type="dxa" w:w="100"/>
              <w:right w:type="dxa" w:w="120"/>
            </w:tcMar>
            <w:vAlign w:val="center"/>
          </w:tcPr>
          <w:p>
            <w:pPr>
              <w:keepNext w:val="false"/>
              <w:spacing w:after="40" w:before="0" w:line="300"/>
              <w:jc w:val="left"/>
            </w:pPr>
            <w:r>
              <w:rPr>
                <w:rFonts w:ascii="Calibri" w:cs="Calibri" w:eastAsia="Calibri" w:hAnsi="Calibri"/>
                <w:b/>
                <w:bCs/>
                <w:i w:val="false"/>
                <w:iCs w:val="false"/>
                <w:color w:val="1F4D78"/>
                <w:sz w:val="22"/>
                <w:szCs w:val="22"/>
              </w:rPr>
              <w:t xml:space="preserve">Billing caution</w:t>
            </w:r>
          </w:p>
          <w:p>
            <w:pPr>
              <w:keepNext w:val="false"/>
              <w:spacing w:after="40" w:before="0" w:line="300"/>
              <w:jc w:val="left"/>
            </w:pPr>
            <w:r>
              <w:rPr>
                <w:rFonts w:ascii="Calibri" w:cs="Calibri" w:eastAsia="Calibri" w:hAnsi="Calibri"/>
                <w:b w:val="false"/>
                <w:bCs w:val="false"/>
                <w:i w:val="false"/>
                <w:iCs w:val="false"/>
                <w:color w:val="1F2937"/>
                <w:sz w:val="22"/>
                <w:szCs w:val="22"/>
              </w:rPr>
              <w:t xml:space="preserve">This is an educational template, not legal, coding, billing, or reimbursement advice. Verify every code, modifier, diagnosis, unit, payer rule, provider credential, place of service, and documentation requirement before submitting claims.</w:t>
            </w:r>
          </w:p>
        </w:tc>
      </w:tr>
    </w:tbl>
    <w:p>
      <w:pPr>
        <w:keepNext/>
        <w:shd w:fill="2E74B5" w:color="auto" w:val="clear"/>
        <w:spacing w:after="90" w:before="220" w:line="300"/>
        <w:ind w:left="120"/>
      </w:pPr>
      <w:r>
        <w:rPr>
          <w:rFonts w:ascii="Calibri" w:cs="Calibri" w:eastAsia="Calibri" w:hAnsi="Calibri"/>
          <w:b/>
          <w:bCs/>
          <w:i w:val="false"/>
          <w:iCs w:val="false"/>
          <w:color w:val="FFFFFF"/>
          <w:sz w:val="24"/>
          <w:szCs w:val="24"/>
        </w:rPr>
        <w:t xml:space="preserve">Core Terms</w:t>
      </w:r>
    </w:p>
    <w:tbl>
      <w:tblPr>
        <w:tblW w:type="dxa" w:w="9360"/>
        <w:tblBorders>
          <w:top w:val="single" w:color="C9D3DF" w:sz="6"/>
          <w:left w:val="single" w:color="C9D3DF" w:sz="6"/>
          <w:bottom w:val="single" w:color="C9D3DF" w:sz="6"/>
          <w:right w:val="single" w:color="C9D3DF" w:sz="6"/>
          <w:insideH w:val="single" w:color="C9D3DF" w:sz="4"/>
          <w:insideV w:val="single" w:color="C9D3DF" w:sz="4"/>
        </w:tblBorders>
        <w:tblCellMar>
          <w:top w:type="dxa" w:w="80"/>
          <w:left w:type="dxa" w:w="120"/>
          <w:bottom w:type="dxa" w:w="80"/>
          <w:right w:type="dxa" w:w="120"/>
        </w:tblCellMar>
      </w:tblPr>
      <w:tblGrid>
        <w:gridCol w:w="100"/>
        <w:gridCol w:w="100"/>
        <w:gridCol w:w="100"/>
      </w:tblGrid>
      <w:tr>
        <w:trPr>
          <w:tblHeader/>
        </w:trPr>
        <w:tc>
          <w:tcPr>
            <w:tcW w:type="dxa" w:w="2200"/>
            <w:shd w:fill="E8EEF5" w:color="auto" w:val="clear"/>
            <w:tcMar>
              <w:top w:type="dxa" w:w="100"/>
              <w:left w:type="dxa" w:w="120"/>
              <w:bottom w:type="dxa" w:w="100"/>
              <w:right w:type="dxa" w:w="120"/>
            </w:tcMar>
            <w:vAlign w:val="center"/>
          </w:tcPr>
          <w:p>
            <w:pPr>
              <w:keepNext w:val="false"/>
              <w:spacing w:after="40" w:before="0" w:line="300"/>
              <w:jc w:val="left"/>
            </w:pPr>
            <w:r>
              <w:rPr>
                <w:rFonts w:ascii="Calibri" w:cs="Calibri" w:eastAsia="Calibri" w:hAnsi="Calibri"/>
                <w:b/>
                <w:bCs/>
                <w:i w:val="false"/>
                <w:iCs w:val="false"/>
                <w:color w:val="1F4D78"/>
                <w:sz w:val="22"/>
                <w:szCs w:val="22"/>
              </w:rPr>
              <w:t xml:space="preserve">Term</w:t>
            </w:r>
          </w:p>
        </w:tc>
        <w:tc>
          <w:tcPr>
            <w:tcW w:type="dxa" w:w="4300"/>
            <w:shd w:fill="E8EEF5" w:color="auto" w:val="clear"/>
            <w:tcMar>
              <w:top w:type="dxa" w:w="100"/>
              <w:left w:type="dxa" w:w="120"/>
              <w:bottom w:type="dxa" w:w="100"/>
              <w:right w:type="dxa" w:w="120"/>
            </w:tcMar>
            <w:vAlign w:val="center"/>
          </w:tcPr>
          <w:p>
            <w:pPr>
              <w:keepNext w:val="false"/>
              <w:spacing w:after="40" w:before="0" w:line="300"/>
              <w:jc w:val="left"/>
            </w:pPr>
            <w:r>
              <w:rPr>
                <w:rFonts w:ascii="Calibri" w:cs="Calibri" w:eastAsia="Calibri" w:hAnsi="Calibri"/>
                <w:b/>
                <w:bCs/>
                <w:i w:val="false"/>
                <w:iCs w:val="false"/>
                <w:color w:val="1F4D78"/>
                <w:sz w:val="22"/>
                <w:szCs w:val="22"/>
              </w:rPr>
              <w:t xml:space="preserve">Plain-language meaning</w:t>
            </w:r>
          </w:p>
        </w:tc>
        <w:tc>
          <w:tcPr>
            <w:tcW w:type="dxa" w:w="2860"/>
            <w:shd w:fill="E8EEF5" w:color="auto" w:val="clear"/>
            <w:tcMar>
              <w:top w:type="dxa" w:w="100"/>
              <w:left w:type="dxa" w:w="120"/>
              <w:bottom w:type="dxa" w:w="100"/>
              <w:right w:type="dxa" w:w="120"/>
            </w:tcMar>
            <w:vAlign w:val="center"/>
          </w:tcPr>
          <w:p>
            <w:pPr>
              <w:keepNext w:val="false"/>
              <w:spacing w:after="40" w:before="0" w:line="300"/>
              <w:jc w:val="left"/>
            </w:pPr>
            <w:r>
              <w:rPr>
                <w:rFonts w:ascii="Calibri" w:cs="Calibri" w:eastAsia="Calibri" w:hAnsi="Calibri"/>
                <w:b/>
                <w:bCs/>
                <w:i w:val="false"/>
                <w:iCs w:val="false"/>
                <w:color w:val="1F4D78"/>
                <w:sz w:val="22"/>
                <w:szCs w:val="22"/>
              </w:rPr>
              <w:t xml:space="preserve">Practice note</w:t>
            </w:r>
          </w:p>
        </w:tc>
      </w:tr>
      <w:tr>
        <w:trPr>
          <w:tblHeader w:val="false"/>
        </w:trPr>
        <w:tc>
          <w:tcPr>
            <w:tcW w:type="dxa" w:w="2200"/>
            <w:tcMar>
              <w:top w:type="dxa" w:w="100"/>
              <w:left w:type="dxa" w:w="120"/>
              <w:bottom w:type="dxa" w:w="100"/>
              <w:right w:type="dxa" w:w="120"/>
            </w:tcMar>
            <w:vAlign w:val="center"/>
          </w:tcPr>
          <w:p>
            <w:pPr>
              <w:keepNext w:val="false"/>
              <w:spacing w:after="120" w:before="0" w:line="300"/>
              <w:jc w:val="left"/>
            </w:pPr>
            <w:r>
              <w:rPr>
                <w:rFonts w:ascii="Calibri" w:cs="Calibri" w:eastAsia="Calibri" w:hAnsi="Calibri"/>
                <w:b w:val="false"/>
                <w:bCs w:val="false"/>
                <w:i w:val="false"/>
                <w:iCs w:val="false"/>
                <w:color w:val="1F2937"/>
                <w:sz w:val="22"/>
                <w:szCs w:val="22"/>
              </w:rPr>
              <w:t xml:space="preserve">Allowed amount</w:t>
            </w:r>
          </w:p>
        </w:tc>
        <w:tc>
          <w:tcPr>
            <w:tcW w:type="dxa" w:w="4300"/>
            <w:tcMar>
              <w:top w:type="dxa" w:w="100"/>
              <w:left w:type="dxa" w:w="120"/>
              <w:bottom w:type="dxa" w:w="100"/>
              <w:right w:type="dxa" w:w="120"/>
            </w:tcMar>
            <w:vAlign w:val="center"/>
          </w:tcPr>
          <w:p>
            <w:pPr>
              <w:keepNext w:val="false"/>
              <w:spacing w:after="120" w:before="0" w:line="300"/>
              <w:jc w:val="left"/>
            </w:pPr>
            <w:r>
              <w:rPr>
                <w:rFonts w:ascii="Calibri" w:cs="Calibri" w:eastAsia="Calibri" w:hAnsi="Calibri"/>
                <w:b w:val="false"/>
                <w:bCs w:val="false"/>
                <w:i w:val="false"/>
                <w:iCs w:val="false"/>
                <w:color w:val="1F2937"/>
                <w:sz w:val="22"/>
                <w:szCs w:val="22"/>
              </w:rPr>
              <w:t xml:space="preserve">Amount payer recognizes for a covered service</w:t>
            </w:r>
          </w:p>
        </w:tc>
        <w:tc>
          <w:tcPr>
            <w:tcW w:type="dxa" w:w="286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r>
      <w:tr>
        <w:trPr>
          <w:tblHeader w:val="false"/>
        </w:trPr>
        <w:tc>
          <w:tcPr>
            <w:tcW w:type="dxa" w:w="2200"/>
            <w:tcMar>
              <w:top w:type="dxa" w:w="100"/>
              <w:left w:type="dxa" w:w="120"/>
              <w:bottom w:type="dxa" w:w="100"/>
              <w:right w:type="dxa" w:w="120"/>
            </w:tcMar>
            <w:vAlign w:val="center"/>
          </w:tcPr>
          <w:p>
            <w:pPr>
              <w:keepNext w:val="false"/>
              <w:spacing w:after="120" w:before="0" w:line="300"/>
              <w:jc w:val="left"/>
            </w:pPr>
            <w:r>
              <w:rPr>
                <w:rFonts w:ascii="Calibri" w:cs="Calibri" w:eastAsia="Calibri" w:hAnsi="Calibri"/>
                <w:b w:val="false"/>
                <w:bCs w:val="false"/>
                <w:i w:val="false"/>
                <w:iCs w:val="false"/>
                <w:color w:val="1F2937"/>
                <w:sz w:val="22"/>
                <w:szCs w:val="22"/>
              </w:rPr>
              <w:t xml:space="preserve">Adjustment</w:t>
            </w:r>
          </w:p>
        </w:tc>
        <w:tc>
          <w:tcPr>
            <w:tcW w:type="dxa" w:w="4300"/>
            <w:tcMar>
              <w:top w:type="dxa" w:w="100"/>
              <w:left w:type="dxa" w:w="120"/>
              <w:bottom w:type="dxa" w:w="100"/>
              <w:right w:type="dxa" w:w="120"/>
            </w:tcMar>
            <w:vAlign w:val="center"/>
          </w:tcPr>
          <w:p>
            <w:pPr>
              <w:keepNext w:val="false"/>
              <w:spacing w:after="120" w:before="0" w:line="300"/>
              <w:jc w:val="left"/>
            </w:pPr>
            <w:r>
              <w:rPr>
                <w:rFonts w:ascii="Calibri" w:cs="Calibri" w:eastAsia="Calibri" w:hAnsi="Calibri"/>
                <w:b w:val="false"/>
                <w:bCs w:val="false"/>
                <w:i w:val="false"/>
                <w:iCs w:val="false"/>
                <w:color w:val="1F2937"/>
                <w:sz w:val="22"/>
                <w:szCs w:val="22"/>
              </w:rPr>
              <w:t xml:space="preserve">Difference written off or shifted according to payer rules</w:t>
            </w:r>
          </w:p>
        </w:tc>
        <w:tc>
          <w:tcPr>
            <w:tcW w:type="dxa" w:w="286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r>
      <w:tr>
        <w:trPr>
          <w:tblHeader w:val="false"/>
        </w:trPr>
        <w:tc>
          <w:tcPr>
            <w:tcW w:type="dxa" w:w="2200"/>
            <w:tcMar>
              <w:top w:type="dxa" w:w="100"/>
              <w:left w:type="dxa" w:w="120"/>
              <w:bottom w:type="dxa" w:w="100"/>
              <w:right w:type="dxa" w:w="120"/>
            </w:tcMar>
            <w:vAlign w:val="center"/>
          </w:tcPr>
          <w:p>
            <w:pPr>
              <w:keepNext w:val="false"/>
              <w:spacing w:after="120" w:before="0" w:line="300"/>
              <w:jc w:val="left"/>
            </w:pPr>
            <w:r>
              <w:rPr>
                <w:rFonts w:ascii="Calibri" w:cs="Calibri" w:eastAsia="Calibri" w:hAnsi="Calibri"/>
                <w:b w:val="false"/>
                <w:bCs w:val="false"/>
                <w:i w:val="false"/>
                <w:iCs w:val="false"/>
                <w:color w:val="1F2937"/>
                <w:sz w:val="22"/>
                <w:szCs w:val="22"/>
              </w:rPr>
              <w:t xml:space="preserve">Claim rejection</w:t>
            </w:r>
          </w:p>
        </w:tc>
        <w:tc>
          <w:tcPr>
            <w:tcW w:type="dxa" w:w="4300"/>
            <w:tcMar>
              <w:top w:type="dxa" w:w="100"/>
              <w:left w:type="dxa" w:w="120"/>
              <w:bottom w:type="dxa" w:w="100"/>
              <w:right w:type="dxa" w:w="120"/>
            </w:tcMar>
            <w:vAlign w:val="center"/>
          </w:tcPr>
          <w:p>
            <w:pPr>
              <w:keepNext w:val="false"/>
              <w:spacing w:after="120" w:before="0" w:line="300"/>
              <w:jc w:val="left"/>
            </w:pPr>
            <w:r>
              <w:rPr>
                <w:rFonts w:ascii="Calibri" w:cs="Calibri" w:eastAsia="Calibri" w:hAnsi="Calibri"/>
                <w:b w:val="false"/>
                <w:bCs w:val="false"/>
                <w:i w:val="false"/>
                <w:iCs w:val="false"/>
                <w:color w:val="1F2937"/>
                <w:sz w:val="22"/>
                <w:szCs w:val="22"/>
              </w:rPr>
              <w:t xml:space="preserve">Claim did not enter adjudication due to format or data issue</w:t>
            </w:r>
          </w:p>
        </w:tc>
        <w:tc>
          <w:tcPr>
            <w:tcW w:type="dxa" w:w="286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r>
      <w:tr>
        <w:trPr>
          <w:tblHeader w:val="false"/>
        </w:trPr>
        <w:tc>
          <w:tcPr>
            <w:tcW w:type="dxa" w:w="2200"/>
            <w:tcMar>
              <w:top w:type="dxa" w:w="100"/>
              <w:left w:type="dxa" w:w="120"/>
              <w:bottom w:type="dxa" w:w="100"/>
              <w:right w:type="dxa" w:w="120"/>
            </w:tcMar>
            <w:vAlign w:val="center"/>
          </w:tcPr>
          <w:p>
            <w:pPr>
              <w:keepNext w:val="false"/>
              <w:spacing w:after="120" w:before="0" w:line="300"/>
              <w:jc w:val="left"/>
            </w:pPr>
            <w:r>
              <w:rPr>
                <w:rFonts w:ascii="Calibri" w:cs="Calibri" w:eastAsia="Calibri" w:hAnsi="Calibri"/>
                <w:b w:val="false"/>
                <w:bCs w:val="false"/>
                <w:i w:val="false"/>
                <w:iCs w:val="false"/>
                <w:color w:val="1F2937"/>
                <w:sz w:val="22"/>
                <w:szCs w:val="22"/>
              </w:rPr>
              <w:t xml:space="preserve">Claim denial</w:t>
            </w:r>
          </w:p>
        </w:tc>
        <w:tc>
          <w:tcPr>
            <w:tcW w:type="dxa" w:w="4300"/>
            <w:tcMar>
              <w:top w:type="dxa" w:w="100"/>
              <w:left w:type="dxa" w:w="120"/>
              <w:bottom w:type="dxa" w:w="100"/>
              <w:right w:type="dxa" w:w="120"/>
            </w:tcMar>
            <w:vAlign w:val="center"/>
          </w:tcPr>
          <w:p>
            <w:pPr>
              <w:keepNext w:val="false"/>
              <w:spacing w:after="120" w:before="0" w:line="300"/>
              <w:jc w:val="left"/>
            </w:pPr>
            <w:r>
              <w:rPr>
                <w:rFonts w:ascii="Calibri" w:cs="Calibri" w:eastAsia="Calibri" w:hAnsi="Calibri"/>
                <w:b w:val="false"/>
                <w:bCs w:val="false"/>
                <w:i w:val="false"/>
                <w:iCs w:val="false"/>
                <w:color w:val="1F2937"/>
                <w:sz w:val="22"/>
                <w:szCs w:val="22"/>
              </w:rPr>
              <w:t xml:space="preserve">Payer processed the claim but did not pay all or part</w:t>
            </w:r>
          </w:p>
        </w:tc>
        <w:tc>
          <w:tcPr>
            <w:tcW w:type="dxa" w:w="286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r>
      <w:tr>
        <w:trPr>
          <w:tblHeader w:val="false"/>
        </w:trPr>
        <w:tc>
          <w:tcPr>
            <w:tcW w:type="dxa" w:w="2200"/>
            <w:tcMar>
              <w:top w:type="dxa" w:w="100"/>
              <w:left w:type="dxa" w:w="120"/>
              <w:bottom w:type="dxa" w:w="100"/>
              <w:right w:type="dxa" w:w="120"/>
            </w:tcMar>
            <w:vAlign w:val="center"/>
          </w:tcPr>
          <w:p>
            <w:pPr>
              <w:keepNext w:val="false"/>
              <w:spacing w:after="120" w:before="0" w:line="300"/>
              <w:jc w:val="left"/>
            </w:pPr>
            <w:r>
              <w:rPr>
                <w:rFonts w:ascii="Calibri" w:cs="Calibri" w:eastAsia="Calibri" w:hAnsi="Calibri"/>
                <w:b w:val="false"/>
                <w:bCs w:val="false"/>
                <w:i w:val="false"/>
                <w:iCs w:val="false"/>
                <w:color w:val="1F2937"/>
                <w:sz w:val="22"/>
                <w:szCs w:val="22"/>
              </w:rPr>
              <w:t xml:space="preserve">Coordination of benefits</w:t>
            </w:r>
          </w:p>
        </w:tc>
        <w:tc>
          <w:tcPr>
            <w:tcW w:type="dxa" w:w="4300"/>
            <w:tcMar>
              <w:top w:type="dxa" w:w="100"/>
              <w:left w:type="dxa" w:w="120"/>
              <w:bottom w:type="dxa" w:w="100"/>
              <w:right w:type="dxa" w:w="120"/>
            </w:tcMar>
            <w:vAlign w:val="center"/>
          </w:tcPr>
          <w:p>
            <w:pPr>
              <w:keepNext w:val="false"/>
              <w:spacing w:after="120" w:before="0" w:line="300"/>
              <w:jc w:val="left"/>
            </w:pPr>
            <w:r>
              <w:rPr>
                <w:rFonts w:ascii="Calibri" w:cs="Calibri" w:eastAsia="Calibri" w:hAnsi="Calibri"/>
                <w:b w:val="false"/>
                <w:bCs w:val="false"/>
                <w:i w:val="false"/>
                <w:iCs w:val="false"/>
                <w:color w:val="1F2937"/>
                <w:sz w:val="22"/>
                <w:szCs w:val="22"/>
              </w:rPr>
              <w:t xml:space="preserve">Process for determining primary and secondary payer order</w:t>
            </w:r>
          </w:p>
        </w:tc>
        <w:tc>
          <w:tcPr>
            <w:tcW w:type="dxa" w:w="286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r>
      <w:tr>
        <w:trPr>
          <w:tblHeader w:val="false"/>
        </w:trPr>
        <w:tc>
          <w:tcPr>
            <w:tcW w:type="dxa" w:w="2200"/>
            <w:tcMar>
              <w:top w:type="dxa" w:w="100"/>
              <w:left w:type="dxa" w:w="120"/>
              <w:bottom w:type="dxa" w:w="100"/>
              <w:right w:type="dxa" w:w="120"/>
            </w:tcMar>
            <w:vAlign w:val="center"/>
          </w:tcPr>
          <w:p>
            <w:pPr>
              <w:keepNext w:val="false"/>
              <w:spacing w:after="120" w:before="0" w:line="300"/>
              <w:jc w:val="left"/>
            </w:pPr>
            <w:r>
              <w:rPr>
                <w:rFonts w:ascii="Calibri" w:cs="Calibri" w:eastAsia="Calibri" w:hAnsi="Calibri"/>
                <w:b w:val="false"/>
                <w:bCs w:val="false"/>
                <w:i w:val="false"/>
                <w:iCs w:val="false"/>
                <w:color w:val="1F2937"/>
                <w:sz w:val="22"/>
                <w:szCs w:val="22"/>
              </w:rPr>
              <w:t xml:space="preserve">Deductible</w:t>
            </w:r>
          </w:p>
        </w:tc>
        <w:tc>
          <w:tcPr>
            <w:tcW w:type="dxa" w:w="4300"/>
            <w:tcMar>
              <w:top w:type="dxa" w:w="100"/>
              <w:left w:type="dxa" w:w="120"/>
              <w:bottom w:type="dxa" w:w="100"/>
              <w:right w:type="dxa" w:w="120"/>
            </w:tcMar>
            <w:vAlign w:val="center"/>
          </w:tcPr>
          <w:p>
            <w:pPr>
              <w:keepNext w:val="false"/>
              <w:spacing w:after="120" w:before="0" w:line="300"/>
              <w:jc w:val="left"/>
            </w:pPr>
            <w:r>
              <w:rPr>
                <w:rFonts w:ascii="Calibri" w:cs="Calibri" w:eastAsia="Calibri" w:hAnsi="Calibri"/>
                <w:b w:val="false"/>
                <w:bCs w:val="false"/>
                <w:i w:val="false"/>
                <w:iCs w:val="false"/>
                <w:color w:val="1F2937"/>
                <w:sz w:val="22"/>
                <w:szCs w:val="22"/>
              </w:rPr>
              <w:t xml:space="preserve">Amount patient may owe before plan pays</w:t>
            </w:r>
          </w:p>
        </w:tc>
        <w:tc>
          <w:tcPr>
            <w:tcW w:type="dxa" w:w="286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r>
      <w:tr>
        <w:trPr>
          <w:tblHeader w:val="false"/>
        </w:trPr>
        <w:tc>
          <w:tcPr>
            <w:tcW w:type="dxa" w:w="2200"/>
            <w:tcMar>
              <w:top w:type="dxa" w:w="100"/>
              <w:left w:type="dxa" w:w="120"/>
              <w:bottom w:type="dxa" w:w="100"/>
              <w:right w:type="dxa" w:w="120"/>
            </w:tcMar>
            <w:vAlign w:val="center"/>
          </w:tcPr>
          <w:p>
            <w:pPr>
              <w:keepNext w:val="false"/>
              <w:spacing w:after="120" w:before="0" w:line="300"/>
              <w:jc w:val="left"/>
            </w:pPr>
            <w:r>
              <w:rPr>
                <w:rFonts w:ascii="Calibri" w:cs="Calibri" w:eastAsia="Calibri" w:hAnsi="Calibri"/>
                <w:b w:val="false"/>
                <w:bCs w:val="false"/>
                <w:i w:val="false"/>
                <w:iCs w:val="false"/>
                <w:color w:val="1F2937"/>
                <w:sz w:val="22"/>
                <w:szCs w:val="22"/>
              </w:rPr>
              <w:t xml:space="preserve">ERA</w:t>
            </w:r>
          </w:p>
        </w:tc>
        <w:tc>
          <w:tcPr>
            <w:tcW w:type="dxa" w:w="4300"/>
            <w:tcMar>
              <w:top w:type="dxa" w:w="100"/>
              <w:left w:type="dxa" w:w="120"/>
              <w:bottom w:type="dxa" w:w="100"/>
              <w:right w:type="dxa" w:w="120"/>
            </w:tcMar>
            <w:vAlign w:val="center"/>
          </w:tcPr>
          <w:p>
            <w:pPr>
              <w:keepNext w:val="false"/>
              <w:spacing w:after="120" w:before="0" w:line="300"/>
              <w:jc w:val="left"/>
            </w:pPr>
            <w:r>
              <w:rPr>
                <w:rFonts w:ascii="Calibri" w:cs="Calibri" w:eastAsia="Calibri" w:hAnsi="Calibri"/>
                <w:b w:val="false"/>
                <w:bCs w:val="false"/>
                <w:i w:val="false"/>
                <w:iCs w:val="false"/>
                <w:color w:val="1F2937"/>
                <w:sz w:val="22"/>
                <w:szCs w:val="22"/>
              </w:rPr>
              <w:t xml:space="preserve">Electronic remittance advice from payer</w:t>
            </w:r>
          </w:p>
        </w:tc>
        <w:tc>
          <w:tcPr>
            <w:tcW w:type="dxa" w:w="286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r>
      <w:tr>
        <w:trPr>
          <w:tblHeader w:val="false"/>
        </w:trPr>
        <w:tc>
          <w:tcPr>
            <w:tcW w:type="dxa" w:w="2200"/>
            <w:tcMar>
              <w:top w:type="dxa" w:w="100"/>
              <w:left w:type="dxa" w:w="120"/>
              <w:bottom w:type="dxa" w:w="100"/>
              <w:right w:type="dxa" w:w="120"/>
            </w:tcMar>
            <w:vAlign w:val="center"/>
          </w:tcPr>
          <w:p>
            <w:pPr>
              <w:keepNext w:val="false"/>
              <w:spacing w:after="120" w:before="0" w:line="300"/>
              <w:jc w:val="left"/>
            </w:pPr>
            <w:r>
              <w:rPr>
                <w:rFonts w:ascii="Calibri" w:cs="Calibri" w:eastAsia="Calibri" w:hAnsi="Calibri"/>
                <w:b w:val="false"/>
                <w:bCs w:val="false"/>
                <w:i w:val="false"/>
                <w:iCs w:val="false"/>
                <w:color w:val="1F2937"/>
                <w:sz w:val="22"/>
                <w:szCs w:val="22"/>
              </w:rPr>
              <w:t xml:space="preserve">EOB</w:t>
            </w:r>
          </w:p>
        </w:tc>
        <w:tc>
          <w:tcPr>
            <w:tcW w:type="dxa" w:w="4300"/>
            <w:tcMar>
              <w:top w:type="dxa" w:w="100"/>
              <w:left w:type="dxa" w:w="120"/>
              <w:bottom w:type="dxa" w:w="100"/>
              <w:right w:type="dxa" w:w="120"/>
            </w:tcMar>
            <w:vAlign w:val="center"/>
          </w:tcPr>
          <w:p>
            <w:pPr>
              <w:keepNext w:val="false"/>
              <w:spacing w:after="120" w:before="0" w:line="300"/>
              <w:jc w:val="left"/>
            </w:pPr>
            <w:r>
              <w:rPr>
                <w:rFonts w:ascii="Calibri" w:cs="Calibri" w:eastAsia="Calibri" w:hAnsi="Calibri"/>
                <w:b w:val="false"/>
                <w:bCs w:val="false"/>
                <w:i w:val="false"/>
                <w:iCs w:val="false"/>
                <w:color w:val="1F2937"/>
                <w:sz w:val="22"/>
                <w:szCs w:val="22"/>
              </w:rPr>
              <w:t xml:space="preserve">Explanation of benefits sent to patient or provider</w:t>
            </w:r>
          </w:p>
        </w:tc>
        <w:tc>
          <w:tcPr>
            <w:tcW w:type="dxa" w:w="286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r>
      <w:tr>
        <w:trPr>
          <w:tblHeader w:val="false"/>
        </w:trPr>
        <w:tc>
          <w:tcPr>
            <w:tcW w:type="dxa" w:w="2200"/>
            <w:tcMar>
              <w:top w:type="dxa" w:w="100"/>
              <w:left w:type="dxa" w:w="120"/>
              <w:bottom w:type="dxa" w:w="100"/>
              <w:right w:type="dxa" w:w="120"/>
            </w:tcMar>
            <w:vAlign w:val="center"/>
          </w:tcPr>
          <w:p>
            <w:pPr>
              <w:keepNext w:val="false"/>
              <w:spacing w:after="120" w:before="0" w:line="300"/>
              <w:jc w:val="left"/>
            </w:pPr>
            <w:r>
              <w:rPr>
                <w:rFonts w:ascii="Calibri" w:cs="Calibri" w:eastAsia="Calibri" w:hAnsi="Calibri"/>
                <w:b w:val="false"/>
                <w:bCs w:val="false"/>
                <w:i w:val="false"/>
                <w:iCs w:val="false"/>
                <w:color w:val="1F2937"/>
                <w:sz w:val="22"/>
                <w:szCs w:val="22"/>
              </w:rPr>
              <w:t xml:space="preserve">Timely filing</w:t>
            </w:r>
          </w:p>
        </w:tc>
        <w:tc>
          <w:tcPr>
            <w:tcW w:type="dxa" w:w="4300"/>
            <w:tcMar>
              <w:top w:type="dxa" w:w="100"/>
              <w:left w:type="dxa" w:w="120"/>
              <w:bottom w:type="dxa" w:w="100"/>
              <w:right w:type="dxa" w:w="120"/>
            </w:tcMar>
            <w:vAlign w:val="center"/>
          </w:tcPr>
          <w:p>
            <w:pPr>
              <w:keepNext w:val="false"/>
              <w:spacing w:after="120" w:before="0" w:line="300"/>
              <w:jc w:val="left"/>
            </w:pPr>
            <w:r>
              <w:rPr>
                <w:rFonts w:ascii="Calibri" w:cs="Calibri" w:eastAsia="Calibri" w:hAnsi="Calibri"/>
                <w:b w:val="false"/>
                <w:bCs w:val="false"/>
                <w:i w:val="false"/>
                <w:iCs w:val="false"/>
                <w:color w:val="1F2937"/>
                <w:sz w:val="22"/>
                <w:szCs w:val="22"/>
              </w:rPr>
              <w:t xml:space="preserve">Deadline to submit or correct a claim</w:t>
            </w:r>
          </w:p>
        </w:tc>
        <w:tc>
          <w:tcPr>
            <w:tcW w:type="dxa" w:w="286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r>
    </w:tbl>
    <w:p>
      <w:pPr>
        <w:keepNext/>
        <w:shd w:fill="2E74B5" w:color="auto" w:val="clear"/>
        <w:spacing w:after="90" w:before="220" w:line="300"/>
        <w:ind w:left="120"/>
      </w:pPr>
      <w:r>
        <w:rPr>
          <w:rFonts w:ascii="Calibri" w:cs="Calibri" w:eastAsia="Calibri" w:hAnsi="Calibri"/>
          <w:b/>
          <w:bCs/>
          <w:i w:val="false"/>
          <w:iCs w:val="false"/>
          <w:color w:val="FFFFFF"/>
          <w:sz w:val="24"/>
          <w:szCs w:val="24"/>
        </w:rPr>
        <w:t xml:space="preserve">Terms To Add From Your Payers</w:t>
      </w:r>
    </w:p>
    <w:tbl>
      <w:tblPr>
        <w:tblW w:type="dxa" w:w="9360"/>
        <w:tblBorders>
          <w:top w:val="single" w:color="C9D3DF" w:sz="6"/>
          <w:left w:val="single" w:color="C9D3DF" w:sz="6"/>
          <w:bottom w:val="single" w:color="C9D3DF" w:sz="6"/>
          <w:right w:val="single" w:color="C9D3DF" w:sz="6"/>
          <w:insideH w:val="single" w:color="C9D3DF" w:sz="4"/>
          <w:insideV w:val="single" w:color="C9D3DF" w:sz="4"/>
        </w:tblBorders>
        <w:tblCellMar>
          <w:top w:type="dxa" w:w="80"/>
          <w:left w:type="dxa" w:w="120"/>
          <w:bottom w:type="dxa" w:w="80"/>
          <w:right w:type="dxa" w:w="120"/>
        </w:tblCellMar>
      </w:tblPr>
      <w:tblGrid>
        <w:gridCol w:w="100"/>
      </w:tblGrid>
      <w:tr>
        <w:trPr>
          <w:tblHeader w:val="false"/>
        </w:trPr>
        <w:tc>
          <w:tcPr>
            <w:tcW w:type="dxa" w:w="9360"/>
            <w:shd w:fill="E8EEF5" w:color="auto" w:val="clear"/>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bCs/>
                <w:i w:val="false"/>
                <w:iCs w:val="false"/>
                <w:color w:val="1F4D78"/>
                <w:sz w:val="22"/>
                <w:szCs w:val="22"/>
              </w:rPr>
              <w:t xml:space="preserve">Add payer-specific terms, denial codes, portal labels, or contract language here</w:t>
            </w:r>
          </w:p>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r>
    </w:tbl>
    <w:tbl>
      <w:tblPr>
        <w:tblW w:type="dxa" w:w="9360"/>
        <w:tblBorders>
          <w:top w:val="single" w:color="C9D3DF" w:sz="6"/>
          <w:left w:val="single" w:color="C9D3DF" w:sz="6"/>
          <w:bottom w:val="single" w:color="C9D3DF" w:sz="6"/>
          <w:right w:val="single" w:color="C9D3DF" w:sz="6"/>
          <w:insideH w:val="single" w:color="C9D3DF" w:sz="4"/>
          <w:insideV w:val="single" w:color="C9D3DF" w:sz="4"/>
        </w:tblBorders>
        <w:tblCellMar>
          <w:top w:type="dxa" w:w="80"/>
          <w:left w:type="dxa" w:w="120"/>
          <w:bottom w:type="dxa" w:w="80"/>
          <w:right w:type="dxa" w:w="120"/>
        </w:tblCellMar>
      </w:tblPr>
      <w:tblGrid>
        <w:gridCol w:w="100"/>
      </w:tblGrid>
      <w:tr>
        <w:trPr>
          <w:tblHeader w:val="false"/>
        </w:trPr>
        <w:tc>
          <w:tcPr>
            <w:tcW w:type="dxa" w:w="9360"/>
            <w:shd w:fill="E8EEF5" w:color="auto" w:val="clear"/>
            <w:tcMar>
              <w:top w:type="dxa" w:w="100"/>
              <w:left w:type="dxa" w:w="120"/>
              <w:bottom w:type="dxa" w:w="100"/>
              <w:right w:type="dxa" w:w="120"/>
            </w:tcMar>
            <w:vAlign w:val="center"/>
          </w:tcPr>
          <w:p>
            <w:pPr>
              <w:keepNext w:val="false"/>
              <w:spacing w:after="40" w:before="0" w:line="300"/>
              <w:jc w:val="left"/>
            </w:pPr>
            <w:r>
              <w:rPr>
                <w:rFonts w:ascii="Calibri" w:cs="Calibri" w:eastAsia="Calibri" w:hAnsi="Calibri"/>
                <w:b/>
                <w:bCs/>
                <w:i w:val="false"/>
                <w:iCs w:val="false"/>
                <w:color w:val="1F4D78"/>
                <w:sz w:val="22"/>
                <w:szCs w:val="22"/>
              </w:rPr>
              <w:t xml:space="preserve">Reference sources to verify before use</w:t>
            </w:r>
          </w:p>
          <w:p>
            <w:pPr>
              <w:keepNext w:val="false"/>
              <w:spacing w:after="40" w:before="0" w:line="300"/>
              <w:jc w:val="left"/>
            </w:pPr>
            <w:r>
              <w:rPr>
                <w:rFonts w:ascii="Calibri" w:cs="Calibri" w:eastAsia="Calibri" w:hAnsi="Calibri"/>
                <w:b w:val="false"/>
                <w:bCs w:val="false"/>
                <w:i w:val="false"/>
                <w:iCs w:val="false"/>
                <w:color w:val="1F2937"/>
                <w:sz w:val="22"/>
                <w:szCs w:val="22"/>
              </w:rPr>
              <w:t xml:space="preserve">Current AMA CPT code set and payer policies; CMS HCPCS Level II files; CDC/NCHS ICD-10-CM files and official guidelines; payer contracts, medical policies, provider manuals, and clearinghouse edits.</w:t>
            </w:r>
          </w:p>
        </w:tc>
      </w:tr>
    </w:tbl>
    <w:p>
      <w:pPr>
        <w:keepNext w:val="false"/>
        <w:spacing w:after="0" w:before="180" w:line="300"/>
        <w:jc w:val="left"/>
      </w:pPr>
      <w:r>
        <w:rPr>
          <w:rFonts w:ascii="Calibri" w:cs="Calibri" w:eastAsia="Calibri" w:hAnsi="Calibri"/>
          <w:b w:val="false"/>
          <w:bCs w:val="false"/>
          <w:i w:val="false"/>
          <w:iCs w:val="false"/>
          <w:color w:val="5B6472"/>
          <w:sz w:val="18"/>
          <w:szCs w:val="18"/>
        </w:rPr>
        <w:t xml:space="preserve">Template note: Customize for your payer contracts, provider type, state scope, EHR/clearinghouse workflow, and compliance review before use.</w:t>
      </w:r>
    </w:p>
    <w:sectPr>
      <w:footerReference w:type="default" r:id="rId7"/>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Calibri" w:cs="Calibri" w:eastAsia="Calibri" w:hAnsi="Calibri"/>
        <w:b w:val="false"/>
        <w:bCs w:val="false"/>
        <w:i w:val="false"/>
        <w:iCs w:val="false"/>
        <w:color w:val="5B6472"/>
        <w:sz w:val="18"/>
        <w:szCs w:val="18"/>
      </w:rPr>
      <w:t xml:space="preserve">Page </w:t>
    </w:r>
    <w:r>
      <w:rPr>
        <w:rFonts w:ascii="Calibri" w:cs="Calibri" w:eastAsia="Calibri" w:hAnsi="Calibri"/>
        <w:color w:val="5B6472"/>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937"/>
        <w:sz w:val="22"/>
        <w:szCs w:val="22"/>
      </w:rPr>
    </w:rPrDefault>
    <w:pPrDefault>
      <w:pPr>
        <w:spacing w:after="120"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Insurance Billing Glossary</dc:title>
  <dc:creator>Codex</dc:creator>
  <cp:lastModifiedBy>Un-named</cp:lastModifiedBy>
  <cp:revision>1</cp:revision>
  <dcterms:created xsi:type="dcterms:W3CDTF">2026-06-30T22:27:04.154Z</dcterms:created>
  <dcterms:modified xsi:type="dcterms:W3CDTF">2026-06-30T22:27:04.154Z</dcterms:modified>
</cp:coreProperties>
</file>

<file path=docProps/custom.xml><?xml version="1.0" encoding="utf-8"?>
<Properties xmlns="http://schemas.openxmlformats.org/officeDocument/2006/custom-properties" xmlns:vt="http://schemas.openxmlformats.org/officeDocument/2006/docPropsVTypes"/>
</file>