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Startup Compliance Checklist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pre-launch checklist for confirming the business, clinical, privacy, payer, and administrative pieces of an IBCLC private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checklist is a planning tool, not legal, tax, clinical, or compliance advice. Requirements vary by state, payer, business structure, location, services, employees, and technology tools. Verify high-risk items with official sources and qualified advisors before launching.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Startup Compliance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Target launch date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☐ Sole proprietor    ☐ LLC    ☐ PLLC/PC    ☐ Other: ____________________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Services at launch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2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Care settings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☐ Client homes    ☐ Office/clinic    ☐ Telehealth    ☐ Classes/groups    ☐ Other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Items needing advisor review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2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1. Business Formation and Registration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Compliance item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What to verify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 selected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Sole proprietor, LLC, PLLC, corporation, or other structure selected with legal/tax guidance as needed.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State registration reviewed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Entity filing, annual report, registered agent, professional entity rules, and naming restrictions reviewed.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Local license/zoning reviewed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City/county business license, home occupation, mobile service, office, or signage rules reviewed.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DBA/trade name reviewed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DBA, assumed name, fictitious name, publication, and renewal rules checked if public name differs from legal name.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records saved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Formation documents, approvals, receipts, DBA records, operating agreement, and renewal calendar saved.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2. Tax ID, NPI, Banking, and Insurance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Compliance item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What to verify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EIN / tax ID decision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Confirm whether SSN, EIN, entity EIN, or state tax account is needed for banking, W-9, payer, payroll, or taxes.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NPI setup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Confirm Type 1/Type 2 decisions, taxonomy, practice address, legal name, and payer requirements.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Banking setup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Business account, tax reserve process, payment processor, refunds, owner pay/draw, and recordkeeping process set.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Insurance active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Professional liability, general liability, cyber/privacy, property, auto, or workers comp reviewed as applicable.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Name alignment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Legal name, DBA, tax ID, NPI, bank, W-9, insurance, payer, website, and invoices match or are explainable.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3. Clinical Scope, Documentation, and Referral Readiness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Services offered are within IBCLC scope and clearly described.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Referral/escalation process is ready for urgent medical, mental health, feeding, weight, oral function, or safety concerns.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Visit note templates support clinical reasoning, assessment, plan, education, and follow-up.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Care plan templates and patient resources are ready and current.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Record retention plan is documented, including where records live and how long they are kept.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Process is ready for records requests, releases, corrections, and secure sharing when needed.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4. Privacy, Communication, and Technology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Area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Pre-launch check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HIPAA/privacy workflow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Privacy notice, minimum necessary access, records storage, and release process reviewed.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Secure communication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Email, phone, text, portal, voicemail, and emergency/non-emergency boundaries defined.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Digital forms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Intake and consent collection process reviewed for privacy, storage, and access.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Devices and passwords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Laptop, phone, tablet, backups, password manager, and lost-device process ready.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Vendors/tools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Scheduling, EHR, billing, payment, email, website forms, and file storage vendors reviewed for privacy needs.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Incident process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Plan exists for privacy incidents, complaints, lost devices, or accidental disclosures.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5. Forms, Policies, and Client-Facing Documents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Intake form is ready for the service type: prenatal, parent, baby, or mom/baby.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Consent for treatment and any baby/prenatal-specific consent are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HIPAA/privacy notice and communication consent are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Payment, cancellation, no-show, refund, and superbill/insurance language are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Telehealth or virtual-care expectations are documented if applicable.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Emergency, urgent concern, and referral language is clear and does not imply 24/7 medical care unless offered.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All forms display the correct legal name, DBA, contact details, NPI/tax/payer details if used, and revision date.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6. Payer and Credentialing Readiness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Payer reminder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Insurance readiness can lag behind business launch. Decide whether the practice is launching self-pay first, insurance-ready only after credentialing, or a hybrid model with clear client-facing payment language.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Payer item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What to verify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W-9 and tax ID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Legal name, DBA, EIN/SSN, address, and payer records align.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NPI/profile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NPI, taxonomy, practice address, directory listing, and contact details align.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EFT/banking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Bank account ownership and EFT details match payer requirements.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Documentation standards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Visit note and care plan templates support payer expectations if billing insurance.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Client payment language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Self-pay, superbill, insurance pending, out-of-network, or in-network status is clearly explained.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Credentialing tracker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Applications, contacts, login credentials, status, and follow-up dates are saved.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2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Required
☐ In progress
☐ Complete
☐ N/A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7. Launch Gate: Must Be Complete Before Seeing Clients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Professional liability insurance is active for offered services and care settings.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Client intake, consent, privacy, payment, and communication forms are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Secure documentation and record storage process is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Emergency/referral language and escalation workflow are clear.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Business name/contact/payment workflow is accurate on forms and invoices.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Payment collection, receipts, refunds, and bookkeeping process are ready.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Known state/local/legal/tax questions that affect launch have been reviewed or placed on a written risk/decision log.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8. Compliance Risk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Open question / risk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Who to ask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Decision / notes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2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9. Records to Save Before Launch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Business formation, DBA, registration, local license, and renewal records.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EIN/tax ID confirmation, state tax account records, W-9s, and payer tax records.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NPI confirmation and payer/credentialing records.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Insurance declarations pages, full policy documents, certificates, and agent notes.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Bank account opening records, payment processor setup, EFT forms, and bookkeeping setup notes.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Final versions of forms, policies, visit notes, care plans, and client resources.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Privacy/security workflow notes, vendor records, and incident response instructions.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Advisor notes from CPA, attorney, insurance agent, credentialing contact, or state/local office.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Questions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Which compliance items are truly required before launch, and which can be completed after a soft launch?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there state or local professional entity, business license, zoning, or name restrictions to resolve?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tax ID, NPI, payer, bank, W-9, and insurance records align correctly?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forms, policies, privacy practices, and documentation workflows sufficient for the services offered?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should be reviewed again at 30 days, 90 days, and before annual renewal?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Launch approval / go-live decision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Top item to resolve before first client: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Startup Compliance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3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Compliance Checklist</dc:title>
  <dc:creator>Codex</dc:creator>
  <dc:description>IBCLC Practice Guide startup compliance checklist</dc:description>
  <cp:lastModifiedBy>Un-named</cp:lastModifiedBy>
  <cp:revision>1</cp:revision>
  <dcterms:created xsi:type="dcterms:W3CDTF">2026-06-30T17:02:02.839Z</dcterms:created>
  <dcterms:modified xsi:type="dcterms:W3CDTF">2026-06-30T17:02:02.840Z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