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Business Insurance Guide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practical guide to choosing and maintaining insurance coverage for an IBCLC private practice.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guide is educational and planning-focused. Coverage needs vary by services, state, entity structure, work setting, telehealth, home visits, employees/contractors, equipment, contracts, and payer requirements. Review policy language with a licensed insurance agent or attorney before relying on coverage.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Insurance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structure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☐ Sole proprietor    ☐ LLC    ☐ PLLC/PC    ☐ Other: ____________________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Services offered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2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Care settings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☐ Client homes    ☐ Office/clinic    ☐ Telehealth    ☐ Classes/groups    ☐ Other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Payer/contract requirements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2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Renewal month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1. Coverage Types to Understand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Coverage type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What it generally addresses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Needed?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Professional liability / malpractice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Claims related to clinical services, advice, documentation, care planning, or alleged professional error.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General liability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Bodily injury or property damage not necessarily tied to professional care, such as slip-and-fall or damage at a visit location.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property / equipment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Laptops, pumps, scales, teaching supplies, office equipment, and other business property.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Cyber / privacy liability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Data breach, privacy incident, ransomware, lost device, or other electronic records/security risks.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Commercial auto or hired/non-owned auto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Business driving exposure, especially home visits or errands, depending on policy terms.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Workers compensation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Required in many situations when employees are hired; rules vary by state.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owner policy (BOP)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 package that may combine general liability and property coverage; clinical/professional coverage is usually separate.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Umbrella / excess liability</w:t>
            </w:r>
          </w:p>
        </w:tc>
        <w:tc>
          <w:tcPr>
            <w:tcW w:type="dxa" w:w="4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Additional limits above underlying policies if eligible and appropriate.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
☐ Ask</w:t>
            </w:r>
          </w:p>
        </w:tc>
        <w:tc>
          <w:tcPr>
            <w:tcW w:type="dxa" w:w="125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2. Risk Map for IBCLC Practice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Practice activity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Insurance question to ask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Follow-up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Home visits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in-home lactation visits covered, including travel, equipment, and accidental property damage?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Telehealth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virtual visits and care provided across state lines covered?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Classes / groups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prenatal classes, support groups, employer classes, and community events included?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Scales and equipment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Is borrowed, rented, or transported equipment covered?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Pump support / supplies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product demonstrations, flange sizing, pump education, or supply sales covered?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Referrals and coordination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documentation, care coordination, and referrals within scope covered?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Employees / contractors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helpers, contractors, students, or interns covered or required to carry their own insurance?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Office space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Does landlord or coworking space require additional insured status or specific limits?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3. Policy Comparison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Policy / carrier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Coverage type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Limits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Deductible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Premium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Key exclusions / notes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4. Questions to Ask the Insurance Agent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Does this policy cover IBCLC/lactation consultant services specifically?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home visits, telehealth, classes, group consults, and community events covered?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newborn weight checks, oral assessments, pumping support, flange fitting, and care plans within the covered professional services?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there exclusions for advice related to supplements, nutrition, medications, tongue tie, mental health, or medical diagnoses?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charting, records, secure messaging, and client communication covered if a complaint arises?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 payer contracts, landlords, hospitals, birth centers, or referral partners require specific limits or certificates?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Does the policy cover prior acts, tail coverage, or claims made after cancellation?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must be reported to the carrier, and how quickly, if an incident or complaint occurs?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5. Certificates, Contracts, and Additional Insureds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Contract reminder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Some organizations require a certificate of insurance, higher limits, or additional insured wording before you can teach, rent space, contract, or receive referrals. Always compare contract requirements to the actual policy terms.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Requesting organization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Requirement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Certificate sent?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Renewal reminder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  <w:tc>
          <w:tcPr>
            <w:tcW w:type="dxa" w:w="1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6. Insurance Records to Keep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Current declarations page for each policy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Full policy document, not only the summary page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Receipts and premium payment confirmations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Certificates of insurance issued to organizations or partners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Additional insured endorsements, if any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Written agent responses about covered services and exclusions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Incident reporting instructions and carrier contact information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Renewal notices and cancellation/nonrenewal notices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Prior policy documents if switching carriers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Contract requirements that drove coverage decisions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7. Renewal and Change Checklist</w:t>
      </w:r>
    </w:p>
    <w:p>
      <w:pPr>
        <w:pStyle w:val="Heading2"/>
        <w:keepNext/>
        <w:spacing w:after="14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6"/>
          <w:szCs w:val="26"/>
        </w:rPr>
        <w:t xml:space="preserve">Review before renewal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Services offered changed since last policy year.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Visit locations changed, including home visits, office, telehealth, or classes.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Revenue, visit volume, or group teaching increased.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New equipment, supplies, or office property were added.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Employees, contractors, students, or interns were added.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Payer, landlord, or partner contracts require different limits or certificates.</w:t>
      </w:r>
    </w:p>
    <w:p>
      <w:pPr>
        <w:pStyle w:val="Heading2"/>
        <w:keepNext/>
        <w:spacing w:after="14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6"/>
          <w:szCs w:val="26"/>
        </w:rPr>
        <w:t xml:space="preserve">Update carrier or agent when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Business name, DBA, entity type, EIN, address, or ownership changes.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You add services, locations, teaching, products, employees, contractors, or rented space.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 complaint, incident, privacy concern, injury, property damage, or claim threat occurs.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You change charting, telehealth, payment, or data storage systems in a way that affects privacy/security.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8. Advisor Questions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professional liability limits are appropriate for my services and payer contracts?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 I need separate general liability, property, cyber/privacy, auto, or workers compensation coverage?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my home visits and telehealth services covered exactly as I provide them?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exclusions should I understand before relying on this policy?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How should my legal name, DBA, LLC/sole proprietor status, and certificates be listed?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should I do immediately if there is an incident, complaint, subpoena, privacy issue, or claim?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Insurance agent contact: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Policy renewal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Top follow-up question: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Business Insurance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3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Insurance Guide</dc:title>
  <dc:creator>Codex</dc:creator>
  <dc:description>IBCLC Practice Guide business insurance guide</dc:description>
  <cp:lastModifiedBy>Un-named</cp:lastModifiedBy>
  <cp:revision>1</cp:revision>
  <dcterms:created xsi:type="dcterms:W3CDTF">2026-06-30T16:04:01.000Z</dcterms:created>
  <dcterms:modified xsi:type="dcterms:W3CDTF">2026-06-30T16:04:01.001Z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