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keepNext/>
        <w:spacing w:after="80" w:before="0" w:line="300"/>
      </w:pPr>
      <w:r>
        <w:rPr>
          <w:rFonts w:ascii="Calibri" w:cs="Calibri" w:eastAsia="Calibri" w:hAnsi="Calibri"/>
          <w:b/>
          <w:bCs/>
          <w:i w:val="false"/>
          <w:iCs w:val="false"/>
          <w:color w:val="1F4D78"/>
          <w:sz w:val="36"/>
          <w:szCs w:val="36"/>
        </w:rPr>
        <w:t xml:space="preserve">Professional Liability Checklist</w:t>
      </w:r>
    </w:p>
    <w:p>
      <w:pPr>
        <w:spacing w:after="200" w:before="0" w:line="300"/>
      </w:pPr>
      <w:r>
        <w:rPr>
          <w:rFonts w:ascii="Calibri" w:cs="Calibri" w:eastAsia="Calibri" w:hAnsi="Calibri"/>
          <w:b w:val="false"/>
          <w:bCs w:val="false"/>
          <w:i w:val="false"/>
          <w:iCs w:val="false"/>
          <w:color w:val="5B6472"/>
          <w:sz w:val="22"/>
          <w:szCs w:val="22"/>
        </w:rPr>
        <w:t xml:space="preserve">An insurance readiness and renewal tracking guide for an IBCLC practice.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FF8E8" w:color="auto" w:val="clear"/>
            <w:tcMar>
              <w:top w:type="dxa" w:w="100"/>
              <w:left w:type="dxa" w:w="120"/>
              <w:bottom w:type="dxa" w:w="100"/>
              <w:right w:type="dxa" w:w="120"/>
            </w:tcMar>
            <w:vAlign w:val="top"/>
          </w:tcPr>
          <w:p>
            <w:pPr>
              <w:spacing w:after="50" w:before="0" w:line="300"/>
            </w:pPr>
            <w:r>
              <w:rPr>
                <w:rFonts w:ascii="Calibri" w:cs="Calibri" w:eastAsia="Calibri" w:hAnsi="Calibri"/>
                <w:b/>
                <w:bCs/>
                <w:i w:val="false"/>
                <w:iCs w:val="false"/>
                <w:color w:val="1F4D78"/>
                <w:sz w:val="21"/>
                <w:szCs w:val="21"/>
              </w:rPr>
              <w:t xml:space="preserve">Important note</w:t>
            </w:r>
          </w:p>
          <w:p>
            <w:pPr>
              <w:spacing w:after="0" w:before="0" w:line="280"/>
            </w:pPr>
            <w:r>
              <w:rPr>
                <w:rFonts w:ascii="Calibri" w:cs="Calibri" w:eastAsia="Calibri" w:hAnsi="Calibri"/>
                <w:b w:val="false"/>
                <w:bCs w:val="false"/>
                <w:i w:val="false"/>
                <w:iCs w:val="false"/>
                <w:color w:val="1F2933"/>
                <w:sz w:val="20"/>
                <w:szCs w:val="20"/>
              </w:rPr>
              <w:t xml:space="preserve">This checklist is an educational planning tool, not insurance, legal, or financial advice. Policy terms vary widely. Review coverage with a licensed insurance professional who understands lactation care, home visits, telehealth, payer contracts, and small healthcare businesses.</w:t>
            </w:r>
          </w:p>
        </w:tc>
      </w:tr>
    </w:tbl>
    <w:p>
      <w:pPr>
        <w:pStyle w:val="Heading1"/>
        <w:keepNext/>
        <w:spacing w:after="200" w:before="360" w:line="300"/>
      </w:pPr>
      <w:r>
        <w:rPr>
          <w:rFonts w:ascii="Calibri" w:cs="Calibri" w:eastAsia="Calibri" w:hAnsi="Calibri"/>
          <w:b/>
          <w:bCs/>
          <w:i w:val="false"/>
          <w:iCs w:val="false"/>
          <w:color w:val="2E74B5"/>
          <w:sz w:val="32"/>
          <w:szCs w:val="32"/>
        </w:rPr>
        <w:t xml:space="preserve">Practice Risk Snapshot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Practice name</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Owner / responsible person</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Business structure</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State(s) served</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Care settings</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24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Services offered</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24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Payer / contract model</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24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Employees or contractors</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Products/classes offered</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r>
        <w:tc>
          <w:tcPr>
            <w:tcW w:type="dxa" w:w="27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60"/>
            </w:pPr>
            <w:r>
              <w:rPr>
                <w:rFonts w:ascii="Calibri" w:cs="Calibri" w:eastAsia="Calibri" w:hAnsi="Calibri"/>
                <w:b/>
                <w:bCs/>
                <w:i w:val="false"/>
                <w:iCs w:val="false"/>
                <w:color w:val="1F4D78"/>
                <w:sz w:val="20"/>
                <w:szCs w:val="20"/>
              </w:rPr>
              <w:t xml:space="preserve">Current coverage status</w:t>
            </w:r>
          </w:p>
        </w:tc>
        <w:tc>
          <w:tcPr>
            <w:tcW w:type="dxa" w:w="66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110" w:before="0" w:line="260"/>
            </w:pPr>
            <w:r>
              <w:rPr>
                <w:rFonts w:ascii="Calibri" w:cs="Calibri" w:eastAsia="Calibri" w:hAnsi="Calibri"/>
                <w:b w:val="false"/>
                <w:bCs w:val="false"/>
                <w:i w:val="false"/>
                <w:iCs w:val="false"/>
                <w:color w:val="1F2933"/>
                <w:sz w:val="20"/>
                <w:szCs w:val="20"/>
              </w:rPr>
              <w:t xml:space="preserve"> </w:t>
            </w:r>
          </w:p>
        </w:tc>
      </w:tr>
    </w:tbl>
    <w:p>
      <w:pPr>
        <w:pStyle w:val="Heading1"/>
        <w:keepNext/>
        <w:spacing w:after="200" w:before="360" w:line="300"/>
      </w:pPr>
      <w:r>
        <w:rPr>
          <w:rFonts w:ascii="Calibri" w:cs="Calibri" w:eastAsia="Calibri" w:hAnsi="Calibri"/>
          <w:b/>
          <w:bCs/>
          <w:i w:val="false"/>
          <w:iCs w:val="false"/>
          <w:color w:val="2E74B5"/>
          <w:sz w:val="32"/>
          <w:szCs w:val="32"/>
        </w:rPr>
        <w:t xml:space="preserve">Startup Gate: Coverage to Verify</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56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Checklist Item</w:t>
            </w:r>
          </w:p>
        </w:tc>
        <w:tc>
          <w:tcPr>
            <w:tcW w:type="dxa" w:w="37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Status /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Professional liability/malpractice policy is active before client care begins.</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Policy lists the correct legal business name, DBA, owner/provider name, and practice location(s).</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Coverage applies to lactation consultation, care plans, education, telehealth, home visits, classes, and documentation activities actually offered.</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Policy limits meet payer, contract, facility, and personal risk tolerance requirements.</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Claims-made versus occurrence coverage is understood and documented.</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Consent forms, documentation practices, and scope-of-service language align with coverage.</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General liability is reviewed for client visits, office space, classes, events, and premises risk.</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Cyber/privacy coverage is reviewed for electronic records, email/texting, online forms, telehealth, and HIPAA-related incident response.</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Auto/business-use coverage is reviewed for home visits.</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Renewal reminders and claim contact information are saved in more than one place.</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bl>
    <w:p>
      <w:pPr>
        <w:pStyle w:val="Heading1"/>
        <w:keepNext/>
        <w:spacing w:after="200" w:before="360" w:line="300"/>
      </w:pPr>
      <w:r>
        <w:rPr>
          <w:rFonts w:ascii="Calibri" w:cs="Calibri" w:eastAsia="Calibri" w:hAnsi="Calibri"/>
          <w:b/>
          <w:bCs/>
          <w:i w:val="false"/>
          <w:iCs w:val="false"/>
          <w:color w:val="2E74B5"/>
          <w:sz w:val="32"/>
          <w:szCs w:val="32"/>
        </w:rPr>
        <w:t xml:space="preserve">Core Coverage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21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Coverage Type</w:t>
            </w:r>
          </w:p>
        </w:tc>
        <w:tc>
          <w:tcPr>
            <w:tcW w:type="dxa" w:w="455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Why It Matters for an IBCLC Practice</w:t>
            </w:r>
          </w:p>
        </w:tc>
        <w:tc>
          <w:tcPr>
            <w:tcW w:type="dxa" w:w="271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Questions to Ask</w:t>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Professional liability / malpractice</w:t>
            </w:r>
          </w:p>
        </w:tc>
        <w:tc>
          <w:tcPr>
            <w:tcW w:type="dxa" w:w="455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Protects against claims tied to professional services, clinical advice, documentation, referrals, and alleged errors or omissions.</w:t>
            </w:r>
          </w:p>
        </w:tc>
        <w:tc>
          <w:tcPr>
            <w:tcW w:type="dxa" w:w="27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What services are covered? Are home visits, telehealth, classes, group support, and care plans included?</w:t>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General liability</w:t>
            </w:r>
          </w:p>
        </w:tc>
        <w:tc>
          <w:tcPr>
            <w:tcW w:type="dxa" w:w="455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Addresses non-clinical bodily injury or property damage risks, such as someone slipping at an office, class, or rented space.</w:t>
            </w:r>
          </w:p>
        </w:tc>
        <w:tc>
          <w:tcPr>
            <w:tcW w:type="dxa" w:w="27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Do I need it for office visits, classes, workshops, or facility contracts?</w:t>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Cyber / privacy liability</w:t>
            </w:r>
          </w:p>
        </w:tc>
        <w:tc>
          <w:tcPr>
            <w:tcW w:type="dxa" w:w="455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Helps with electronic record, privacy, cyber incident, and notification costs depending on policy terms.</w:t>
            </w:r>
          </w:p>
        </w:tc>
        <w:tc>
          <w:tcPr>
            <w:tcW w:type="dxa" w:w="27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Does it cover email, text, forms, EHR, cloud storage, lost devices, and vendor incidents?</w:t>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Business property / equipment</w:t>
            </w:r>
          </w:p>
        </w:tc>
        <w:tc>
          <w:tcPr>
            <w:tcW w:type="dxa" w:w="455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Covers practice property such as laptop, scale, pump demo items, printer, supplies, and office equipment depending on policy.</w:t>
            </w:r>
          </w:p>
        </w:tc>
        <w:tc>
          <w:tcPr>
            <w:tcW w:type="dxa" w:w="27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Are home office items and mobile equipment covered away from the office?</w:t>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Commercial auto or business-use auto</w:t>
            </w:r>
          </w:p>
        </w:tc>
        <w:tc>
          <w:tcPr>
            <w:tcW w:type="dxa" w:w="455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Relevant when driving for home visits, transporting equipment, or using a vehicle regularly for business.</w:t>
            </w:r>
          </w:p>
        </w:tc>
        <w:tc>
          <w:tcPr>
            <w:tcW w:type="dxa" w:w="27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Does my personal auto policy exclude business use?</w:t>
            </w:r>
          </w:p>
        </w:tc>
      </w:tr>
      <w:tr>
        <w:tc>
          <w:tcPr>
            <w:tcW w:type="dxa" w:w="21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Workers compensation</w:t>
            </w:r>
          </w:p>
        </w:tc>
        <w:tc>
          <w:tcPr>
            <w:tcW w:type="dxa" w:w="455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May be required once employees are hired, depending on state law.</w:t>
            </w:r>
          </w:p>
        </w:tc>
        <w:tc>
          <w:tcPr>
            <w:tcW w:type="dxa" w:w="271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When does my state require coverage for employees, contractors, or assistants?</w:t>
            </w:r>
          </w:p>
        </w:tc>
      </w:tr>
    </w:tbl>
    <w:p>
      <w:pPr>
        <w:pStyle w:val="Heading1"/>
        <w:keepNext/>
        <w:spacing w:after="200" w:before="360" w:line="300"/>
      </w:pPr>
      <w:r>
        <w:rPr>
          <w:rFonts w:ascii="Calibri" w:cs="Calibri" w:eastAsia="Calibri" w:hAnsi="Calibri"/>
          <w:b/>
          <w:bCs/>
          <w:i w:val="false"/>
          <w:iCs w:val="false"/>
          <w:color w:val="2E74B5"/>
          <w:sz w:val="32"/>
          <w:szCs w:val="32"/>
        </w:rPr>
        <w:t xml:space="preserve">Policy Detail Tracker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gridCol w:w="100"/>
        <w:gridCol w:w="100"/>
      </w:tblGrid>
      <w:tr>
        <w:trPr>
          <w:tblHeader/>
        </w:trPr>
        <w:tc>
          <w:tcPr>
            <w:tcW w:type="dxa" w:w="22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Coverage / Policy</w:t>
            </w:r>
          </w:p>
        </w:tc>
        <w:tc>
          <w:tcPr>
            <w:tcW w:type="dxa" w:w="22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Carrier / Agent</w:t>
            </w:r>
          </w:p>
        </w:tc>
        <w:tc>
          <w:tcPr>
            <w:tcW w:type="dxa" w:w="19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Limits / Deductible</w:t>
            </w:r>
          </w:p>
        </w:tc>
        <w:tc>
          <w:tcPr>
            <w:tcW w:type="dxa" w:w="13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Renewal Date</w:t>
            </w:r>
          </w:p>
        </w:tc>
        <w:tc>
          <w:tcPr>
            <w:tcW w:type="dxa" w:w="17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Notes</w:t>
            </w:r>
          </w:p>
        </w:tc>
      </w:tr>
      <w:tr>
        <w:tc>
          <w:tcPr>
            <w:tcW w:type="dxa" w:w="2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Professional liability / malpractice</w:t>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General liability</w:t>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Cyber / privacy liability</w:t>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Business property / equipment</w:t>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Commercial auto / business-use auto</w:t>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Workers compensation</w:t>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Umbrella / excess liability</w:t>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2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Facility or contract-required policy</w:t>
            </w:r>
          </w:p>
        </w:tc>
        <w:tc>
          <w:tcPr>
            <w:tcW w:type="dxa" w:w="22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bl>
    <w:p>
      <w:pPr>
        <w:pStyle w:val="Heading1"/>
        <w:keepNext/>
        <w:spacing w:after="200" w:before="360" w:line="300"/>
      </w:pPr>
      <w:r>
        <w:rPr>
          <w:rFonts w:ascii="Calibri" w:cs="Calibri" w:eastAsia="Calibri" w:hAnsi="Calibri"/>
          <w:b/>
          <w:bCs/>
          <w:i w:val="false"/>
          <w:iCs w:val="false"/>
          <w:color w:val="2E74B5"/>
          <w:sz w:val="32"/>
          <w:szCs w:val="32"/>
        </w:rPr>
        <w:t xml:space="preserve">Professional Liability Deep-Dive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26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Policy Point</w:t>
            </w:r>
          </w:p>
        </w:tc>
        <w:tc>
          <w:tcPr>
            <w:tcW w:type="dxa" w:w="67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What to Confirm</w:t>
            </w:r>
          </w:p>
        </w:tc>
      </w:tr>
      <w:tr>
        <w:tc>
          <w:tcPr>
            <w:tcW w:type="dxa" w:w="2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Named insured</w:t>
            </w:r>
          </w:p>
        </w:tc>
        <w:tc>
          <w:tcPr>
            <w:tcW w:type="dxa" w:w="6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Legal entity name, DBA, owner/provider name, additional providers, and correct addresses are listed accurately.</w:t>
            </w:r>
          </w:p>
        </w:tc>
      </w:tr>
      <w:tr>
        <w:tc>
          <w:tcPr>
            <w:tcW w:type="dxa" w:w="2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Scope of services</w:t>
            </w:r>
          </w:p>
        </w:tc>
        <w:tc>
          <w:tcPr>
            <w:tcW w:type="dxa" w:w="6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Lactation consultation, prenatal visits, postpartum visits, bottle support, pumping support, telehealth, group classes, and care plans are covered if offered.</w:t>
            </w:r>
          </w:p>
        </w:tc>
      </w:tr>
      <w:tr>
        <w:tc>
          <w:tcPr>
            <w:tcW w:type="dxa" w:w="2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Limits</w:t>
            </w:r>
          </w:p>
        </w:tc>
        <w:tc>
          <w:tcPr>
            <w:tcW w:type="dxa" w:w="6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Per-claim and aggregate limits meet payer, contract, facility, and comfort-level needs.</w:t>
            </w:r>
          </w:p>
        </w:tc>
      </w:tr>
      <w:tr>
        <w:tc>
          <w:tcPr>
            <w:tcW w:type="dxa" w:w="2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Deductible / retention</w:t>
            </w:r>
          </w:p>
        </w:tc>
        <w:tc>
          <w:tcPr>
            <w:tcW w:type="dxa" w:w="6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Amount due if a claim occurs is clear and budgeted.</w:t>
            </w:r>
          </w:p>
        </w:tc>
      </w:tr>
      <w:tr>
        <w:tc>
          <w:tcPr>
            <w:tcW w:type="dxa" w:w="2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Claims-made or occurrence</w:t>
            </w:r>
          </w:p>
        </w:tc>
        <w:tc>
          <w:tcPr>
            <w:tcW w:type="dxa" w:w="6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Claims-made policies usually require active coverage when the claim is made; tail/prior acts should be discussed before switching or canceling.</w:t>
            </w:r>
          </w:p>
        </w:tc>
      </w:tr>
      <w:tr>
        <w:tc>
          <w:tcPr>
            <w:tcW w:type="dxa" w:w="2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Exclusions</w:t>
            </w:r>
          </w:p>
        </w:tc>
        <w:tc>
          <w:tcPr>
            <w:tcW w:type="dxa" w:w="6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Read exclusions for clinical procedures, products, rentals, online advice, services across state lines, employees, contractors, and non-covered modalities.</w:t>
            </w:r>
          </w:p>
        </w:tc>
      </w:tr>
      <w:tr>
        <w:tc>
          <w:tcPr>
            <w:tcW w:type="dxa" w:w="2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Additional insured / certificate requests</w:t>
            </w:r>
          </w:p>
        </w:tc>
        <w:tc>
          <w:tcPr>
            <w:tcW w:type="dxa" w:w="6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Know whether a landlord, facility, hospital, partner, or event host can be added or issued a certificate.</w:t>
            </w:r>
          </w:p>
        </w:tc>
      </w:tr>
      <w:tr>
        <w:tc>
          <w:tcPr>
            <w:tcW w:type="dxa" w:w="2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Reporting duties</w:t>
            </w:r>
          </w:p>
        </w:tc>
        <w:tc>
          <w:tcPr>
            <w:tcW w:type="dxa" w:w="6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Know when and how to report incidents, complaints, subpoenas, board notices, payer audits, or potential claims.</w:t>
            </w:r>
          </w:p>
        </w:tc>
      </w:tr>
    </w:tbl>
    <w:p>
      <w:pPr>
        <w:pStyle w:val="Heading1"/>
        <w:keepNext/>
        <w:spacing w:after="200" w:before="360" w:line="300"/>
      </w:pPr>
      <w:r>
        <w:rPr>
          <w:rFonts w:ascii="Calibri" w:cs="Calibri" w:eastAsia="Calibri" w:hAnsi="Calibri"/>
          <w:b/>
          <w:bCs/>
          <w:i w:val="false"/>
          <w:iCs w:val="false"/>
          <w:color w:val="2E74B5"/>
          <w:sz w:val="32"/>
          <w:szCs w:val="32"/>
        </w:rPr>
        <w:t xml:space="preserve">Home Visit, Telehealth &amp; Class Add-On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56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Checklist Item</w:t>
            </w:r>
          </w:p>
        </w:tc>
        <w:tc>
          <w:tcPr>
            <w:tcW w:type="dxa" w:w="37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Status /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Home visits are covered in every state/location served.</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Portable equipment, scales, bags, forms, and devices are covered while traveling, if needed.</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Auto/business-use coverage is reviewed for client travel.</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Telehealth and virtual consults are covered for clients located in the relevant state(s).</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Online courses, group classes, webinars, and downloadable resources are reviewed with the agent.</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Product sales, pump rentals, flange fitting, scale rental, or affiliate/referral income are disclosed if applicable.</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Services provided as a contractor for another organization are covered either by the practice policy or the organization’s policy, in writing.</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bl>
    <w:p>
      <w:pPr>
        <w:pStyle w:val="Heading1"/>
        <w:keepNext/>
        <w:spacing w:after="200" w:before="360" w:line="300"/>
      </w:pPr>
      <w:r>
        <w:rPr>
          <w:rFonts w:ascii="Calibri" w:cs="Calibri" w:eastAsia="Calibri" w:hAnsi="Calibri"/>
          <w:b/>
          <w:bCs/>
          <w:i w:val="false"/>
          <w:iCs w:val="false"/>
          <w:color w:val="2E74B5"/>
          <w:sz w:val="32"/>
          <w:szCs w:val="32"/>
        </w:rPr>
        <w:t xml:space="preserve">Contract &amp; Payer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tblGrid>
      <w:tr>
        <w:trPr>
          <w:tblHeader/>
        </w:trPr>
        <w:tc>
          <w:tcPr>
            <w:tcW w:type="dxa" w:w="25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Requirement Source</w:t>
            </w:r>
          </w:p>
        </w:tc>
        <w:tc>
          <w:tcPr>
            <w:tcW w:type="dxa" w:w="43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Coverage to Compare</w:t>
            </w:r>
          </w:p>
        </w:tc>
        <w:tc>
          <w:tcPr>
            <w:tcW w:type="dxa" w:w="25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Notes</w:t>
            </w:r>
          </w:p>
        </w:tc>
      </w:tr>
      <w:tr>
        <w:tc>
          <w:tcPr>
            <w:tcW w:type="dxa" w:w="25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Commercial payer / network contract</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Professional liability limits, entity name, NPI/tax ID match, certificate timing.</w:t>
            </w:r>
          </w:p>
        </w:tc>
        <w:tc>
          <w:tcPr>
            <w:tcW w:type="dxa" w:w="25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5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Hospital, birth center, pediatric office, or agency contract</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Professional liability, general liability, additional insured, background checks, immunizations.</w:t>
            </w:r>
          </w:p>
        </w:tc>
        <w:tc>
          <w:tcPr>
            <w:tcW w:type="dxa" w:w="25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5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Office lease or shared clinic agreement</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General liability, property, additional insured, certificate of insurance.</w:t>
            </w:r>
          </w:p>
        </w:tc>
        <w:tc>
          <w:tcPr>
            <w:tcW w:type="dxa" w:w="25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5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Event, class, or workshop host</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General liability, additional insured, waiver/consent language.</w:t>
            </w:r>
          </w:p>
        </w:tc>
        <w:tc>
          <w:tcPr>
            <w:tcW w:type="dxa" w:w="25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25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Grant, employer, or community partner</w:t>
            </w:r>
          </w:p>
        </w:tc>
        <w:tc>
          <w:tcPr>
            <w:tcW w:type="dxa" w:w="43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Coverage limits, staff/contractor coverage, incident reporting duties.</w:t>
            </w:r>
          </w:p>
        </w:tc>
        <w:tc>
          <w:tcPr>
            <w:tcW w:type="dxa" w:w="25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bl>
    <w:p>
      <w:pPr>
        <w:pStyle w:val="Heading1"/>
        <w:keepNext/>
        <w:spacing w:after="200" w:before="360" w:line="300"/>
      </w:pPr>
      <w:r>
        <w:rPr>
          <w:rFonts w:ascii="Calibri" w:cs="Calibri" w:eastAsia="Calibri" w:hAnsi="Calibri"/>
          <w:b/>
          <w:bCs/>
          <w:i w:val="false"/>
          <w:iCs w:val="false"/>
          <w:color w:val="2E74B5"/>
          <w:sz w:val="32"/>
          <w:szCs w:val="32"/>
        </w:rPr>
        <w:t xml:space="preserve">Claim &amp; Incident Response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FF8E8" w:color="auto" w:val="clear"/>
            <w:tcMar>
              <w:top w:type="dxa" w:w="100"/>
              <w:left w:type="dxa" w:w="120"/>
              <w:bottom w:type="dxa" w:w="100"/>
              <w:right w:type="dxa" w:w="120"/>
            </w:tcMar>
            <w:vAlign w:val="top"/>
          </w:tcPr>
          <w:p>
            <w:pPr>
              <w:spacing w:after="50" w:before="0" w:line="300"/>
            </w:pPr>
            <w:r>
              <w:rPr>
                <w:rFonts w:ascii="Calibri" w:cs="Calibri" w:eastAsia="Calibri" w:hAnsi="Calibri"/>
                <w:b/>
                <w:bCs/>
                <w:i w:val="false"/>
                <w:iCs w:val="false"/>
                <w:color w:val="1F4D78"/>
                <w:sz w:val="21"/>
                <w:szCs w:val="21"/>
              </w:rPr>
              <w:t xml:space="preserve">Before there is a problem</w:t>
            </w:r>
          </w:p>
          <w:p>
            <w:pPr>
              <w:spacing w:after="0" w:before="0" w:line="280"/>
            </w:pPr>
            <w:r>
              <w:rPr>
                <w:rFonts w:ascii="Calibri" w:cs="Calibri" w:eastAsia="Calibri" w:hAnsi="Calibri"/>
                <w:b w:val="false"/>
                <w:bCs w:val="false"/>
                <w:i w:val="false"/>
                <w:iCs w:val="false"/>
                <w:color w:val="1F2933"/>
                <w:sz w:val="20"/>
                <w:szCs w:val="20"/>
              </w:rPr>
              <w:t xml:space="preserve">Save the agent/carrier claim contact, policy number, and reporting instructions where you can reach them quickly. Many policies require prompt notice, and waiting can create coverage problems.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56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Checklist Item</w:t>
            </w:r>
          </w:p>
        </w:tc>
        <w:tc>
          <w:tcPr>
            <w:tcW w:type="dxa" w:w="37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Status /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Potential claim, serious complaint, adverse outcome, demand letter, subpoena, board complaint, payer audit, or privacy incident is documented promptly.</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Carrier/agent reporting instructions are followed before making promises, admitting fault, or sending detailed statements.</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Relevant records, consent forms, messages, care plans, and timelines are preserved.</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Communication with the client, payer, board, facility, or attorney is coordinated with the carrier/advisor when appropriate.</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Incident log is updated with dates, contacts, documents preserved, and next steps.</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gridCol w:w="100"/>
        <w:gridCol w:w="100"/>
      </w:tblGrid>
      <w:tr>
        <w:trPr>
          <w:tblHeader/>
        </w:trPr>
        <w:tc>
          <w:tcPr>
            <w:tcW w:type="dxa" w:w="15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Date</w:t>
            </w:r>
          </w:p>
        </w:tc>
        <w:tc>
          <w:tcPr>
            <w:tcW w:type="dxa" w:w="34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Incident / Concern</w:t>
            </w:r>
          </w:p>
        </w:tc>
        <w:tc>
          <w:tcPr>
            <w:tcW w:type="dxa" w:w="25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Carrier or Advisor Contacted</w:t>
            </w:r>
          </w:p>
        </w:tc>
        <w:tc>
          <w:tcPr>
            <w:tcW w:type="dxa" w:w="19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Next Step / Status</w:t>
            </w:r>
          </w:p>
        </w:tc>
      </w:tr>
      <w:tr>
        <w:tc>
          <w:tcPr>
            <w:tcW w:type="dxa" w:w="15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
            </w:r>
          </w:p>
        </w:tc>
        <w:tc>
          <w:tcPr>
            <w:tcW w:type="dxa" w:w="3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25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15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
            </w:r>
          </w:p>
        </w:tc>
        <w:tc>
          <w:tcPr>
            <w:tcW w:type="dxa" w:w="3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25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15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
            </w:r>
          </w:p>
        </w:tc>
        <w:tc>
          <w:tcPr>
            <w:tcW w:type="dxa" w:w="3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25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r>
        <w:tc>
          <w:tcPr>
            <w:tcW w:type="dxa" w:w="15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
            </w:r>
          </w:p>
        </w:tc>
        <w:tc>
          <w:tcPr>
            <w:tcW w:type="dxa" w:w="34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250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c>
          <w:tcPr>
            <w:tcW w:type="dxa" w:w="19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w:r>
          </w:p>
        </w:tc>
      </w:tr>
    </w:tbl>
    <w:p>
      <w:pPr>
        <w:pStyle w:val="Heading1"/>
        <w:keepNext/>
        <w:spacing w:after="200" w:before="360" w:line="300"/>
      </w:pPr>
      <w:r>
        <w:rPr>
          <w:rFonts w:ascii="Calibri" w:cs="Calibri" w:eastAsia="Calibri" w:hAnsi="Calibri"/>
          <w:b/>
          <w:bCs/>
          <w:i w:val="false"/>
          <w:iCs w:val="false"/>
          <w:color w:val="2E74B5"/>
          <w:sz w:val="32"/>
          <w:szCs w:val="32"/>
        </w:rPr>
        <w:t xml:space="preserve">Annual Renewal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gridCol w:w="100"/>
      </w:tblGrid>
      <w:tr>
        <w:trPr>
          <w:tblHeader/>
        </w:trPr>
        <w:tc>
          <w:tcPr>
            <w:tcW w:type="dxa" w:w="560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Checklist Item</w:t>
            </w:r>
          </w:p>
        </w:tc>
        <w:tc>
          <w:tcPr>
            <w:tcW w:type="dxa" w:w="3760"/>
            <w:tcBorders>
              <w:top w:val="single" w:color="C9D3DF" w:sz="6"/>
              <w:left w:val="single" w:color="C9D3DF" w:sz="6"/>
              <w:bottom w:val="single" w:color="C9D3DF" w:sz="6"/>
              <w:right w:val="single" w:color="C9D3DF" w:sz="6"/>
            </w:tcBorders>
            <w:shd w:fill="1F4D78" w:color="auto" w:val="clear"/>
            <w:tcMar>
              <w:top w:type="dxa" w:w="100"/>
              <w:left w:type="dxa" w:w="120"/>
              <w:bottom w:type="dxa" w:w="100"/>
              <w:right w:type="dxa" w:w="120"/>
            </w:tcMar>
            <w:vAlign w:val="center"/>
          </w:tcPr>
          <w:p>
            <w:pPr>
              <w:spacing w:after="0" w:before="0" w:line="235"/>
              <w:jc w:val="center"/>
            </w:pPr>
            <w:r>
              <w:rPr>
                <w:rFonts w:ascii="Calibri" w:cs="Calibri" w:eastAsia="Calibri" w:hAnsi="Calibri"/>
                <w:b/>
                <w:bCs/>
                <w:i w:val="false"/>
                <w:iCs w:val="false"/>
                <w:color w:val="FFFFFF"/>
                <w:sz w:val="18"/>
                <w:szCs w:val="18"/>
              </w:rPr>
              <w:t xml:space="preserve">Status /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Update services, locations, telehealth states, classes, products, and contractors before renewal.</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Confirm legal name, DBA, address, NPI/tax ID, and certificate holders are current.</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Compare policy limits against payer contracts, leases, facility agreements, and growth plans.</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Review claims-made/tail coverage before switching carriers or canceling a policy.</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Save certificates of insurance and renewal declarations in the business records folder.</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Review general liability, cyber/privacy, property, auto, and workers compensation needs annually.</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r>
        <w:tc>
          <w:tcPr>
            <w:tcW w:type="dxa" w:w="5600"/>
            <w:tcBorders>
              <w:top w:val="single" w:color="C9D3DF" w:sz="6"/>
              <w:left w:val="single" w:color="C9D3DF" w:sz="6"/>
              <w:bottom w:val="single" w:color="C9D3DF" w:sz="6"/>
              <w:right w:val="single" w:color="C9D3DF" w:sz="6"/>
            </w:tcBorders>
            <w:shd w:fill="F4F6F9" w:color="auto" w:val="clear"/>
            <w:tcMar>
              <w:top w:type="dxa" w:w="100"/>
              <w:left w:type="dxa" w:w="120"/>
              <w:bottom w:type="dxa" w:w="100"/>
              <w:right w:type="dxa" w:w="120"/>
            </w:tcMar>
            <w:vAlign w:val="top"/>
          </w:tcPr>
          <w:p>
            <w:pPr>
              <w:spacing w:after="0" w:before="0" w:line="235"/>
            </w:pPr>
            <w:r>
              <w:rPr>
                <w:rFonts w:ascii="Calibri" w:cs="Calibri" w:eastAsia="Calibri" w:hAnsi="Calibri"/>
                <w:b/>
                <w:bCs/>
                <w:i w:val="false"/>
                <w:iCs w:val="false"/>
                <w:color w:val="1F2933"/>
                <w:sz w:val="18"/>
                <w:szCs w:val="18"/>
              </w:rPr>
              <w:t xml:space="preserve">Schedule next renewal review at least 45-60 days before expiration.</w:t>
            </w:r>
          </w:p>
        </w:tc>
        <w:tc>
          <w:tcPr>
            <w:tcW w:type="dxa" w:w="3760"/>
            <w:tcBorders>
              <w:top w:val="single" w:color="C9D3DF" w:sz="6"/>
              <w:left w:val="single" w:color="C9D3DF" w:sz="6"/>
              <w:bottom w:val="single" w:color="C9D3DF" w:sz="6"/>
              <w:right w:val="single" w:color="C9D3DF" w:sz="6"/>
            </w:tcBorders>
            <w:tcMar>
              <w:top w:type="dxa" w:w="100"/>
              <w:left w:type="dxa" w:w="120"/>
              <w:bottom w:type="dxa" w:w="100"/>
              <w:right w:type="dxa" w:w="120"/>
            </w:tcMar>
            <w:vAlign w:val="top"/>
          </w:tcPr>
          <w:p>
            <w:pPr>
              <w:spacing w:after="0" w:before="0" w:line="235"/>
            </w:pPr>
            <w:r>
              <w:rPr>
                <w:rFonts w:ascii="Calibri" w:cs="Calibri" w:eastAsia="Calibri" w:hAnsi="Calibri"/>
                <w:b w:val="false"/>
                <w:bCs w:val="false"/>
                <w:i w:val="false"/>
                <w:iCs w:val="false"/>
                <w:color w:val="1F2933"/>
                <w:sz w:val="18"/>
                <w:szCs w:val="18"/>
              </w:rPr>
              <w:t xml:space="preserve">☐ Not started  ☐ In progress  ☐ Complete  ☐ N/A
Notes:</w:t>
            </w:r>
          </w:p>
        </w:tc>
      </w:tr>
    </w:tbl>
    <w:p>
      <w:pPr>
        <w:pStyle w:val="Heading1"/>
        <w:keepNext/>
        <w:spacing w:after="200" w:before="360" w:line="300"/>
      </w:pPr>
      <w:r>
        <w:rPr>
          <w:rFonts w:ascii="Calibri" w:cs="Calibri" w:eastAsia="Calibri" w:hAnsi="Calibri"/>
          <w:b/>
          <w:bCs/>
          <w:i w:val="false"/>
          <w:iCs w:val="false"/>
          <w:color w:val="2E74B5"/>
          <w:sz w:val="32"/>
          <w:szCs w:val="32"/>
        </w:rPr>
        <w:t xml:space="preserve">Advisor Questions</w:t>
      </w:r>
    </w:p>
    <w:p>
      <w:pPr>
        <w:spacing w:after="90" w:before="20" w:line="260"/>
      </w:pPr>
      <w:r>
        <w:rPr>
          <w:rFonts w:ascii="Calibri" w:cs="Calibri" w:eastAsia="Calibri" w:hAnsi="Calibri"/>
          <w:b/>
          <w:bCs/>
          <w:i w:val="false"/>
          <w:iCs w:val="false"/>
          <w:color w:val="1F4D78"/>
          <w:sz w:val="20"/>
          <w:szCs w:val="20"/>
        </w:rPr>
        <w:t xml:space="preserve">What professional liability limit is appropriate for my services, payer contracts, and state?: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Does my policy cover home visits, telehealth, classes, group support, products, rentals, and contractors?: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Is my policy claims-made or occurrence, and what happens if I switch carriers?: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Do I need general liability, cyber/privacy, business property, auto, or workers compensation coverage?: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spacing w:after="90" w:before="20" w:line="260"/>
      </w:pPr>
      <w:r>
        <w:rPr>
          <w:rFonts w:ascii="Calibri" w:cs="Calibri" w:eastAsia="Calibri" w:hAnsi="Calibri"/>
          <w:b/>
          <w:bCs/>
          <w:i w:val="false"/>
          <w:iCs w:val="false"/>
          <w:color w:val="1F4D78"/>
          <w:sz w:val="20"/>
          <w:szCs w:val="20"/>
        </w:rPr>
        <w:t xml:space="preserve">What exactly should I do if I receive a serious complaint, demand letter, subpoena, board notice, or potential claim?: </w:t>
      </w:r>
      <w:r>
        <w:rPr>
          <w:rFonts w:ascii="Calibri" w:cs="Calibri" w:eastAsia="Calibri" w:hAnsi="Calibri"/>
          <w:b w:val="false"/>
          <w:bCs w:val="false"/>
          <w:i w:val="false"/>
          <w:iCs w:val="false"/>
          <w:color w:val="5B6472"/>
          <w:sz w:val="20"/>
          <w:szCs w:val="20"/>
        </w:rPr>
        <w:t xml:space="preserve">____________________________________________________________________________</w:t>
      </w:r>
    </w:p>
    <w:p>
      <w:pPr>
        <w:pStyle w:val="Heading1"/>
        <w:keepNext/>
        <w:spacing w:after="200" w:before="360" w:line="300"/>
      </w:pPr>
      <w:r>
        <w:rPr>
          <w:rFonts w:ascii="Calibri" w:cs="Calibri" w:eastAsia="Calibri" w:hAnsi="Calibri"/>
          <w:b/>
          <w:bCs/>
          <w:i w:val="false"/>
          <w:iCs w:val="false"/>
          <w:color w:val="2E74B5"/>
          <w:sz w:val="32"/>
          <w:szCs w:val="32"/>
        </w:rPr>
        <w:t xml:space="preserve">Source Notes</w:t>
      </w:r>
    </w:p>
    <w:p>
      <w:pPr>
        <w:spacing w:after="100" w:before="0" w:line="280"/>
      </w:pPr>
      <w:r>
        <w:rPr>
          <w:rFonts w:ascii="Calibri" w:cs="Calibri" w:eastAsia="Calibri" w:hAnsi="Calibri"/>
          <w:b w:val="false"/>
          <w:bCs w:val="false"/>
          <w:i w:val="false"/>
          <w:iCs w:val="false"/>
          <w:color w:val="1F2933"/>
          <w:sz w:val="20"/>
          <w:szCs w:val="20"/>
        </w:rPr>
        <w:t xml:space="preserve">Official small-business insurance reference used: </w:t>
      </w:r>
      <w:hyperlink w:history="1" r:id="rIdsdxykbmvcssqjtf66iplq">
        <w:r>
          <w:rPr>
            <w:rStyle w:val="Hyperlink"/>
            <w:rFonts w:ascii="Calibri" w:cs="Calibri" w:eastAsia="Calibri" w:hAnsi="Calibri"/>
            <w:color w:val="2E74B5"/>
            <w:sz w:val="20"/>
            <w:szCs w:val="20"/>
            <w:u w:val="single"/>
          </w:rPr>
          <w:t xml:space="preserve">SBA Get Business Insurance</w:t>
        </w:r>
      </w:hyperlink>
      <w:r>
        <w:rPr>
          <w:rFonts w:ascii="Calibri" w:cs="Calibri" w:eastAsia="Calibri" w:hAnsi="Calibri"/>
          <w:b w:val="false"/>
          <w:bCs w:val="false"/>
          <w:i w:val="false"/>
          <w:iCs w:val="false"/>
          <w:color w:val="1F2933"/>
          <w:sz w:val="20"/>
          <w:szCs w:val="20"/>
        </w:rPr>
        <w:t xml:space="preserve">. This guide also uses general risk-management prompts tailored to small healthcare and IBCLC practice operations.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
      </w:tblGrid>
      <w:tr>
        <w:tc>
          <w:tcPr>
            <w:tcW w:type="dxa" w:w="9360"/>
            <w:tcBorders>
              <w:top w:val="single" w:color="E6D6A8" w:sz="6"/>
              <w:left w:val="single" w:color="E6D6A8" w:sz="6"/>
              <w:bottom w:val="single" w:color="E6D6A8" w:sz="6"/>
              <w:right w:val="single" w:color="E6D6A8" w:sz="6"/>
            </w:tcBorders>
            <w:shd w:fill="F4F6F9" w:color="auto" w:val="clear"/>
            <w:tcMar>
              <w:top w:type="dxa" w:w="100"/>
              <w:left w:type="dxa" w:w="120"/>
              <w:bottom w:type="dxa" w:w="100"/>
              <w:right w:type="dxa" w:w="120"/>
            </w:tcMar>
            <w:vAlign w:val="top"/>
          </w:tcPr>
          <w:p>
            <w:pPr>
              <w:spacing w:after="50" w:before="0" w:line="300"/>
            </w:pPr>
            <w:r>
              <w:rPr>
                <w:rFonts w:ascii="Calibri" w:cs="Calibri" w:eastAsia="Calibri" w:hAnsi="Calibri"/>
                <w:b/>
                <w:bCs/>
                <w:i w:val="false"/>
                <w:iCs w:val="false"/>
                <w:color w:val="1F4D78"/>
                <w:sz w:val="21"/>
                <w:szCs w:val="21"/>
              </w:rPr>
              <w:t xml:space="preserve">Use with judgment</w:t>
            </w:r>
          </w:p>
          <w:p>
            <w:pPr>
              <w:spacing w:after="0" w:before="0" w:line="280"/>
            </w:pPr>
            <w:r>
              <w:rPr>
                <w:rFonts w:ascii="Calibri" w:cs="Calibri" w:eastAsia="Calibri" w:hAnsi="Calibri"/>
                <w:b w:val="false"/>
                <w:bCs w:val="false"/>
                <w:i w:val="false"/>
                <w:iCs w:val="false"/>
                <w:color w:val="1F2933"/>
                <w:sz w:val="20"/>
                <w:szCs w:val="20"/>
              </w:rPr>
              <w:t xml:space="preserve">Insurance coverage depends on the actual policy language. Keep the declarations page, full policy, endorsements, certificates, and renewal notices together, and ask the carrier or agent to answer questions in writing when possible.</w:t>
            </w:r>
          </w:p>
        </w:tc>
      </w:tr>
    </w:tbl>
    <w:sectPr>
      <w:headerReference w:type="default" r:id="rId7"/>
      <w:footerReference w:type="default" r:id="rId8"/>
      <w:pgSz w:w="12240" w:h="15840"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b w:val="false"/>
        <w:bCs w:val="false"/>
        <w:i w:val="false"/>
        <w:iCs w:val="false"/>
        <w:color w:val="5B6472"/>
        <w:sz w:val="18"/>
        <w:szCs w:val="18"/>
      </w:rPr>
      <w:t xml:space="preserve">Page </w:t>
    </w:r>
    <w:r>
      <w:rPr>
        <w:rFonts w:ascii="Calibri" w:cs="Calibri" w:eastAsia="Calibri" w:hAnsi="Calibri"/>
        <w:color w:val="5B6472"/>
        <w:sz w:val="18"/>
        <w:szCs w:val="18"/>
      </w:rPr>
      <w:fldChar w:fldCharType="begin"/>
      <w:instrText xml:space="preserve">PAGE</w:instrText>
      <w:fldChar w:fldCharType="separate"/>
      <w:fldChar w:fldCharType="end"/>
    </w:r>
    <w:r>
      <w:rPr>
        <w:rFonts w:ascii="Calibri" w:cs="Calibri" w:eastAsia="Calibri" w:hAnsi="Calibri"/>
        <w:b w:val="false"/>
        <w:bCs w:val="false"/>
        <w:i w:val="false"/>
        <w:iCs w:val="false"/>
        <w:color w:val="5B6472"/>
        <w:sz w:val="18"/>
        <w:szCs w:val="18"/>
      </w:rPr>
      <w:t xml:space="preserve"> of </w:t>
    </w:r>
    <w:r>
      <w:rPr>
        <w:rFonts w:ascii="Calibri" w:cs="Calibri" w:eastAsia="Calibri" w:hAnsi="Calibri"/>
        <w:color w:val="5B6472"/>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line="300"/>
      <w:jc w:val="right"/>
    </w:pPr>
    <w:r>
      <w:rPr>
        <w:rFonts w:ascii="Calibri" w:cs="Calibri" w:eastAsia="Calibri" w:hAnsi="Calibri"/>
        <w:b w:val="false"/>
        <w:bCs w:val="false"/>
        <w:i w:val="false"/>
        <w:iCs w:val="false"/>
        <w:color w:val="5B6472"/>
        <w:sz w:val="18"/>
        <w:szCs w:val="18"/>
      </w:rPr>
      <w:t xml:space="preserve">IBCLC Practice Guide | Professional Liability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rPr>
        <w:rFonts w:ascii="Symbol" w:cs="Symbol" w:eastAsia="Symbol" w:hAnsi="Symbol"/>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Normal">
    <w:name w:val="Normal"/>
    <w:basedOn w:val="Normal"/>
    <w:next w:val="Normal"/>
    <w:pPr>
      <w:spacing w:after="120" w:line="300"/>
    </w:pPr>
    <w:rPr>
      <w:rFonts w:ascii="Calibri" w:cs="Calibri" w:eastAsia="Calibri" w:hAnsi="Calibri"/>
      <w:color w:val="1F2933"/>
      <w:sz w:val="22"/>
      <w:szCs w:val="22"/>
    </w:rPr>
  </w:style>
  <w:style w:type="paragraph" w:styleId="Heading1">
    <w:name w:val="Heading 1"/>
    <w:basedOn w:val="Normal"/>
    <w:next w:val="Normal"/>
    <w:qFormat/>
    <w:pPr>
      <w:keepNext/>
      <w:spacing w:after="200" w:before="360" w:line="300"/>
    </w:pPr>
    <w:rPr>
      <w:rFonts w:ascii="Calibri" w:cs="Calibri" w:eastAsia="Calibri" w:hAnsi="Calibri"/>
      <w:b/>
      <w:bCs/>
      <w:color w:val="2E74B5"/>
      <w:sz w:val="32"/>
      <w:szCs w:val="32"/>
    </w:rPr>
  </w:style>
  <w:style w:type="paragraph" w:styleId="Heading2">
    <w:name w:val="Heading 2"/>
    <w:basedOn w:val="Normal"/>
    <w:next w:val="Normal"/>
    <w:qFormat/>
    <w:pPr>
      <w:keepNext/>
      <w:spacing w:after="140" w:before="280" w:line="300"/>
    </w:pPr>
    <w:rPr>
      <w:rFonts w:ascii="Calibri" w:cs="Calibri" w:eastAsia="Calibri" w:hAnsi="Calibri"/>
      <w:b/>
      <w:bCs/>
      <w:color w:val="2E74B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sdxykbmvcssqjtf66iplq" Type="http://schemas.openxmlformats.org/officeDocument/2006/relationships/hyperlink" Target="https://www.sba.gov/business-guide/launch/get-business-insurance"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Liability Checklist</dc:title>
  <dc:creator>Codex</dc:creator>
  <dc:description>IBCLC practice guide professional liability checklist</dc:description>
  <cp:lastModifiedBy>Un-named</cp:lastModifiedBy>
  <cp:revision>1</cp:revision>
  <dcterms:created xsi:type="dcterms:W3CDTF">2026-06-30T18:37:59.893Z</dcterms:created>
  <dcterms:modified xsi:type="dcterms:W3CDTF">2026-06-30T18:37:59.894Z</dcterms:modified>
</cp:coreProperties>
</file>

<file path=docProps/custom.xml><?xml version="1.0" encoding="utf-8"?>
<Properties xmlns="http://schemas.openxmlformats.org/officeDocument/2006/custom-properties" xmlns:vt="http://schemas.openxmlformats.org/officeDocument/2006/docPropsVTypes"/>
</file>