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/>
        <w:spacing w:after="80" w:before="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6"/>
          <w:szCs w:val="36"/>
        </w:rPr>
        <w:t xml:space="preserve">Credentialing Tracker</w:t>
      </w:r>
    </w:p>
    <w:p>
      <w:pPr>
        <w:spacing w:after="200" w:before="0" w:line="3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2"/>
          <w:szCs w:val="22"/>
        </w:rPr>
        <w:t xml:space="preserve">A payer and provider credentialing task tracker for an IBCLC practice.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FF8E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Important note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Credentialing timelines vary widely. Track every payer, portal, document request, and follow-up date in one place.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Practice Snapshot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Practice name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Provider name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NPI Type 1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NPI Type 2 / Entity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Credentialing Readiness Checklist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Checklist Item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Status / Notes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NPI, taxonomy, EIN/W-9, business registration, insurance certificates, CAQH profile, license/certification documents, voided check/EFT letter, and practice locations are ready.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Credentialing application requirements and payer-specific lactation/provider rules are confirmed.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All submitted documents use matching legal names, addresses, tax IDs, NPIs, and contact details.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Credentialing Tracker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Payer</w:t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Application/Portal</w:t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Submitted</w:t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Current Status</w:t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Next Follow-Up</w:t>
            </w:r>
          </w:p>
        </w:tc>
        <w:tc>
          <w:tcPr>
            <w:tcW w:type="dxa" w:w="13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Advisor / Review Questions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Who owns this process?: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What official source, payer contract, or portal confirms the requirement?: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What needs to be reviewed before this document is used with clients, payers, or vendors?: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What is the next deadline or follow-up date?: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Source Notes</w:t>
      </w:r>
    </w:p>
    <w:p>
      <w:pPr>
        <w:spacing w:after="10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Helpful official reference points: </w:t>
      </w:r>
      <w:hyperlink w:history="1" r:id="rIdglaueceb6krz5adw2wuf7">
        <w:r>
          <w:rPr>
            <w:rStyle w:val="Hyperlink"/>
            <w:rFonts w:ascii="Calibri" w:cs="Calibri" w:eastAsia="Calibri" w:hAnsi="Calibri"/>
            <w:color w:val="2E74B5"/>
            <w:sz w:val="20"/>
            <w:szCs w:val="20"/>
            <w:u w:val="single"/>
          </w:rPr>
          <w:t xml:space="preserve">NPPES NPI Registry</w:t>
        </w:r>
      </w:hyperlink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; </w:t>
      </w:r>
      <w:hyperlink w:history="1" r:id="rIdalluc47zejgukdy_kghiu">
        <w:r>
          <w:rPr>
            <w:rStyle w:val="Hyperlink"/>
            <w:rFonts w:ascii="Calibri" w:cs="Calibri" w:eastAsia="Calibri" w:hAnsi="Calibri"/>
            <w:color w:val="2E74B5"/>
            <w:sz w:val="20"/>
            <w:szCs w:val="20"/>
            <w:u w:val="single"/>
          </w:rPr>
          <w:t xml:space="preserve">CAQH ProView</w:t>
        </w:r>
      </w:hyperlink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; </w:t>
      </w:r>
      <w:hyperlink w:history="1" r:id="rIddy--zkixly9gzooaewymq">
        <w:r>
          <w:rPr>
            <w:rStyle w:val="Hyperlink"/>
            <w:rFonts w:ascii="Calibri" w:cs="Calibri" w:eastAsia="Calibri" w:hAnsi="Calibri"/>
            <w:color w:val="2E74B5"/>
            <w:sz w:val="20"/>
            <w:szCs w:val="20"/>
            <w:u w:val="single"/>
          </w:rPr>
          <w:t xml:space="preserve">CMS Provider Enrollment</w:t>
        </w:r>
      </w:hyperlink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Use with judgment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Use this as a planning and tracking tool. Final requirements should be confirmed against payer contracts, official portals, state law, HIPAA guidance, and qualified professional advice for the specific practice.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 of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 w:before="0" w:line="300"/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IBCLC Practice Guide | Credentialing Tracker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  <w:rPr>
        <w:rFonts w:ascii="Symbol" w:cs="Symbol" w:eastAsia="Symbol" w:hAnsi="Symbol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pPr>
      <w:spacing w:after="120" w:line="300"/>
    </w:pPr>
    <w:rPr>
      <w:rFonts w:ascii="Calibri" w:cs="Calibri" w:eastAsia="Calibri" w:hAnsi="Calibri"/>
      <w:color w:val="1F2933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after="200" w:before="360" w:line="300"/>
    </w:pPr>
    <w:rPr>
      <w:rFonts w:ascii="Calibri" w:cs="Calibri" w:eastAsia="Calibri" w:hAnsi="Calibri"/>
      <w:b/>
      <w:bCs/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after="140" w:before="280" w:line="300"/>
    </w:pPr>
    <w:rPr>
      <w:rFonts w:ascii="Calibri" w:cs="Calibri" w:eastAsia="Calibri" w:hAnsi="Calibri"/>
      <w:b/>
      <w:bCs/>
      <w:color w:val="2E74B5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glaueceb6krz5adw2wuf7" Type="http://schemas.openxmlformats.org/officeDocument/2006/relationships/hyperlink" Target="https://npiregistry.cms.hhs.gov/" TargetMode="External"/><Relationship Id="rIdalluc47zejgukdy_kghiu" Type="http://schemas.openxmlformats.org/officeDocument/2006/relationships/hyperlink" Target="https://proview.caqh.org/" TargetMode="External"/><Relationship Id="rIddy--zkixly9gzooaewymq" Type="http://schemas.openxmlformats.org/officeDocument/2006/relationships/hyperlink" Target="https://www.cms.gov/medicare/enrollment-renewal/providers-suppliers" TargetMode="External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Credentialing Tracker</dc:title>
  <dc:creator>Codex</dc:creator>
  <dc:description>IBCLC practice guide Credentialing Tracker</dc:description>
  <cp:lastModifiedBy>Un-named</cp:lastModifiedBy>
  <cp:revision>1</cp:revision>
  <dcterms:created xsi:type="dcterms:W3CDTF">2026-06-30T18:46:41.514Z</dcterms:created>
  <dcterms:modified xsi:type="dcterms:W3CDTF">2026-06-30T18:46:41.514Z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