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keepNext/>
        <w:spacing w:after="80" w:before="0" w:line="300"/>
      </w:pPr>
      <w:r>
        <w:rPr>
          <w:rFonts w:ascii="Calibri" w:cs="Calibri" w:eastAsia="Calibri" w:hAnsi="Calibri"/>
          <w:b/>
          <w:bCs/>
          <w:i w:val="false"/>
          <w:iCs w:val="false"/>
          <w:color w:val="1F4D78"/>
          <w:sz w:val="36"/>
          <w:szCs w:val="36"/>
        </w:rPr>
        <w:t xml:space="preserve">Tax ID Reference Guide</w:t>
      </w:r>
    </w:p>
    <w:p>
      <w:pPr>
        <w:spacing w:after="200" w:before="0" w:line="300"/>
      </w:pPr>
      <w:r>
        <w:rPr>
          <w:rFonts w:ascii="Calibri" w:cs="Calibri" w:eastAsia="Calibri" w:hAnsi="Calibri"/>
          <w:b w:val="false"/>
          <w:bCs w:val="false"/>
          <w:i w:val="false"/>
          <w:iCs w:val="false"/>
          <w:color w:val="5B6472"/>
          <w:sz w:val="22"/>
          <w:szCs w:val="22"/>
        </w:rPr>
        <w:t xml:space="preserve">A practical reference for choosing, using, and keeping tax ID records aligned in an IBCLC private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20"/>
              <w:left w:type="dxa" w:w="140"/>
              <w:bottom w:type="dxa" w:w="120"/>
              <w:right w:type="dxa" w:w="140"/>
            </w:tcMar>
            <w:vAlign w:val="center"/>
          </w:tcPr>
          <w:p>
            <w:pPr>
              <w:spacing w:after="50" w:before="0" w:line="300"/>
            </w:pPr>
            <w:r>
              <w:rPr>
                <w:rFonts w:ascii="Calibri" w:cs="Calibri" w:eastAsia="Calibri" w:hAnsi="Calibri"/>
                <w:b/>
                <w:bCs/>
                <w:i w:val="false"/>
                <w:iCs w:val="false"/>
                <w:color w:val="1F4D78"/>
                <w:sz w:val="21"/>
                <w:szCs w:val="21"/>
              </w:rPr>
              <w:t xml:space="preserve">Important note</w:t>
            </w:r>
          </w:p>
          <w:p>
            <w:pPr>
              <w:spacing w:after="0" w:before="0" w:line="280"/>
            </w:pPr>
            <w:r>
              <w:rPr>
                <w:rFonts w:ascii="Calibri" w:cs="Calibri" w:eastAsia="Calibri" w:hAnsi="Calibri"/>
                <w:b w:val="false"/>
                <w:bCs w:val="false"/>
                <w:i w:val="false"/>
                <w:iCs w:val="false"/>
                <w:color w:val="1F2933"/>
                <w:sz w:val="20"/>
                <w:szCs w:val="20"/>
              </w:rPr>
              <w:t xml:space="preserve">This guide is educational and planning-focused, not tax or legal advice. Tax ID use depends on business structure, state requirements, banking, payer enrollment, employees, contractors, and tax filings. Confirm decisions with the IRS, state tax agency, CPA, attorney, and payer credentialing contacts.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Tax ID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Business structure</w:t>
            </w:r>
          </w:p>
        </w:tc>
        <w:tc>
          <w:tcPr>
            <w:tcW w:type="dxa" w:w="67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pPr>
            <w:r>
              <w:rPr>
                <w:rFonts w:ascii="Calibri" w:cs="Calibri" w:eastAsia="Calibri" w:hAnsi="Calibri"/>
                <w:b w:val="false"/>
                <w:bCs w:val="false"/>
                <w:i w:val="false"/>
                <w:iCs w:val="false"/>
                <w:color w:val="1F2933"/>
                <w:sz w:val="20"/>
                <w:szCs w:val="20"/>
              </w:rPr>
              <w:t xml:space="preserve">☐ Sole proprietor    ☐ LLC    ☐ PLLC/PC    ☐ Other: ____________________</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Legal name tied to tax ID</w:t>
            </w:r>
          </w:p>
        </w:tc>
        <w:tc>
          <w:tcPr>
            <w:tcW w:type="dxa" w:w="67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Public practice name / DBA</w:t>
            </w:r>
          </w:p>
        </w:tc>
        <w:tc>
          <w:tcPr>
            <w:tcW w:type="dxa" w:w="67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Federal tax ID used</w:t>
            </w:r>
          </w:p>
        </w:tc>
        <w:tc>
          <w:tcPr>
            <w:tcW w:type="dxa" w:w="67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pPr>
            <w:r>
              <w:rPr>
                <w:rFonts w:ascii="Calibri" w:cs="Calibri" w:eastAsia="Calibri" w:hAnsi="Calibri"/>
                <w:b w:val="false"/>
                <w:bCs w:val="false"/>
                <w:i w:val="false"/>
                <w:iCs w:val="false"/>
                <w:color w:val="1F2933"/>
                <w:sz w:val="20"/>
                <w:szCs w:val="20"/>
              </w:rPr>
              <w:t xml:space="preserve">☐ SSN    ☐ EIN    ☐ ITIN    ☐ Unsure / verify</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State tax ID needed?</w:t>
            </w:r>
          </w:p>
        </w:tc>
        <w:tc>
          <w:tcPr>
            <w:tcW w:type="dxa" w:w="67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pPr>
            <w:r>
              <w:rPr>
                <w:rFonts w:ascii="Calibri" w:cs="Calibri" w:eastAsia="Calibri" w:hAnsi="Calibri"/>
                <w:b w:val="false"/>
                <w:bCs w:val="false"/>
                <w:i w:val="false"/>
                <w:iCs w:val="false"/>
                <w:color w:val="1F2933"/>
                <w:sz w:val="20"/>
                <w:szCs w:val="20"/>
              </w:rPr>
              <w:t xml:space="preserve">☐ Yes    ☐ No    ☐ Unsure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1. Common Tax ID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17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Term</w:t>
            </w:r>
          </w:p>
        </w:tc>
        <w:tc>
          <w:tcPr>
            <w:tcW w:type="dxa" w:w="48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Plain-language meaning</w:t>
            </w:r>
          </w:p>
        </w:tc>
        <w:tc>
          <w:tcPr>
            <w:tcW w:type="dxa" w:w="28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Where it may show up</w:t>
            </w:r>
          </w:p>
        </w:tc>
      </w:tr>
      <w:tr>
        <w:tc>
          <w:tcPr>
            <w:tcW w:type="dxa" w:w="1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TIN</w:t>
            </w:r>
          </w:p>
        </w:tc>
        <w:tc>
          <w:tcPr>
            <w:tcW w:type="dxa" w:w="4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Taxpayer Identification Number. This is a broad term for IDs used for tax reporting, such as SSN, EIN, or ITIN.</w:t>
            </w:r>
          </w:p>
        </w:tc>
        <w:tc>
          <w:tcPr>
            <w:tcW w:type="dxa" w:w="2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W-9, payer enrollment, tax forms, bank records.</w:t>
            </w:r>
          </w:p>
        </w:tc>
      </w:tr>
      <w:tr>
        <w:tc>
          <w:tcPr>
            <w:tcW w:type="dxa" w:w="1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SSN</w:t>
            </w:r>
          </w:p>
        </w:tc>
        <w:tc>
          <w:tcPr>
            <w:tcW w:type="dxa" w:w="4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Social Security Number. A sole proprietor may use an SSN in some situations, but privacy and payer/banking needs may make an EIN preferable.</w:t>
            </w:r>
          </w:p>
        </w:tc>
        <w:tc>
          <w:tcPr>
            <w:tcW w:type="dxa" w:w="2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Sole proprietor tax filings, W-9 if no EIN is used.</w:t>
            </w:r>
          </w:p>
        </w:tc>
      </w:tr>
      <w:tr>
        <w:tc>
          <w:tcPr>
            <w:tcW w:type="dxa" w:w="1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EIN</w:t>
            </w:r>
          </w:p>
        </w:tc>
        <w:tc>
          <w:tcPr>
            <w:tcW w:type="dxa" w:w="4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Employer Identification Number issued by the IRS for a business entity or business tax account.</w:t>
            </w:r>
          </w:p>
        </w:tc>
        <w:tc>
          <w:tcPr>
            <w:tcW w:type="dxa" w:w="2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Business bank account, W-9, payer enrollment, payroll, business tax records.</w:t>
            </w:r>
          </w:p>
        </w:tc>
      </w:tr>
      <w:tr>
        <w:tc>
          <w:tcPr>
            <w:tcW w:type="dxa" w:w="1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ITIN</w:t>
            </w:r>
          </w:p>
        </w:tc>
        <w:tc>
          <w:tcPr>
            <w:tcW w:type="dxa" w:w="4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Individual Taxpayer Identification Number for certain individuals who need a U.S. tax ID but are not eligible for an SSN.</w:t>
            </w:r>
          </w:p>
        </w:tc>
        <w:tc>
          <w:tcPr>
            <w:tcW w:type="dxa" w:w="2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Individual tax filings or forms when applicable.</w:t>
            </w:r>
          </w:p>
        </w:tc>
      </w:tr>
      <w:tr>
        <w:tc>
          <w:tcPr>
            <w:tcW w:type="dxa" w:w="1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State tax ID</w:t>
            </w:r>
          </w:p>
        </w:tc>
        <w:tc>
          <w:tcPr>
            <w:tcW w:type="dxa" w:w="4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A state-level registration or account number, separate from the federal EIN, if required by the state.</w:t>
            </w:r>
          </w:p>
        </w:tc>
        <w:tc>
          <w:tcPr>
            <w:tcW w:type="dxa" w:w="2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Sales/use tax, withholding, unemployment, state business tax accounts.</w:t>
            </w:r>
          </w:p>
        </w:tc>
      </w:tr>
      <w:tr>
        <w:tc>
          <w:tcPr>
            <w:tcW w:type="dxa" w:w="17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NPI</w:t>
            </w:r>
          </w:p>
        </w:tc>
        <w:tc>
          <w:tcPr>
            <w:tcW w:type="dxa" w:w="48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National Provider Identifier. Not a tax ID, but often must align with legal name, entity, address, and payer records.</w:t>
            </w:r>
          </w:p>
        </w:tc>
        <w:tc>
          <w:tcPr>
            <w:tcW w:type="dxa" w:w="2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Insurance credentialing, superbills, payer enrollment, claims.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2. When an EIN Is Commonly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20"/>
              <w:left w:type="dxa" w:w="140"/>
              <w:bottom w:type="dxa" w:w="120"/>
              <w:right w:type="dxa" w:w="140"/>
            </w:tcMar>
            <w:vAlign w:val="center"/>
          </w:tcPr>
          <w:p>
            <w:pPr>
              <w:spacing w:after="50" w:before="0" w:line="300"/>
            </w:pPr>
            <w:r>
              <w:rPr>
                <w:rFonts w:ascii="Calibri" w:cs="Calibri" w:eastAsia="Calibri" w:hAnsi="Calibri"/>
                <w:b/>
                <w:bCs/>
                <w:i w:val="false"/>
                <w:iCs w:val="false"/>
                <w:color w:val="1F4D78"/>
                <w:sz w:val="21"/>
                <w:szCs w:val="21"/>
              </w:rPr>
              <w:t xml:space="preserve">Federal reference point</w:t>
            </w:r>
          </w:p>
          <w:p>
            <w:pPr>
              <w:spacing w:after="0" w:before="0" w:line="280"/>
            </w:pPr>
            <w:r>
              <w:rPr>
                <w:rFonts w:ascii="Calibri" w:cs="Calibri" w:eastAsia="Calibri" w:hAnsi="Calibri"/>
                <w:b w:val="false"/>
                <w:bCs w:val="false"/>
                <w:i w:val="false"/>
                <w:iCs w:val="false"/>
                <w:color w:val="1F2933"/>
                <w:sz w:val="20"/>
                <w:szCs w:val="20"/>
              </w:rPr>
              <w:t xml:space="preserve">The IRS explains that an EIN is used to identify a business entity. A business may need one for employees, certain entity structures, certain tax filings, banking, or payer/vendor requirements.</w:t>
            </w:r>
          </w:p>
        </w:tc>
      </w:tr>
    </w:tbl>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Opening a business bank account under the practice or entity name.</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Submitting Form W-9 to a payer, contractor, or organization.</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Credentialing with insurance payers or setting up electronic funds transfer.</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Forming an LLC, corporation, partnership, or other entity where the entity needs its own federal tax ID.</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Hiring employees or setting up payroll.</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Reducing routine use of the owner's SSN in business records.</w:t>
      </w:r>
    </w:p>
    <w:p>
      <w:pPr>
        <w:pStyle w:val="Heading1"/>
        <w:keepNext/>
        <w:spacing w:after="200" w:before="360" w:line="300"/>
      </w:pPr>
      <w:r>
        <w:rPr>
          <w:rFonts w:ascii="Calibri" w:cs="Calibri" w:eastAsia="Calibri" w:hAnsi="Calibri"/>
          <w:b/>
          <w:bCs/>
          <w:i w:val="false"/>
          <w:iCs w:val="false"/>
          <w:color w:val="2E74B5"/>
          <w:sz w:val="32"/>
          <w:szCs w:val="32"/>
        </w:rPr>
        <w:t xml:space="preserve">3. Sole Proprietor vs. LLC Tax ID Notes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19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Structure</w:t>
            </w:r>
          </w:p>
        </w:tc>
        <w:tc>
          <w:tcPr>
            <w:tcW w:type="dxa" w:w="52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Tax ID notes</w:t>
            </w:r>
          </w:p>
        </w:tc>
        <w:tc>
          <w:tcPr>
            <w:tcW w:type="dxa" w:w="22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Ask your advisor</w:t>
            </w:r>
          </w:p>
        </w:tc>
      </w:tr>
      <w:tr>
        <w:tc>
          <w:tcPr>
            <w:tcW w:type="dxa" w:w="19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Sole proprietor</w:t>
            </w:r>
          </w:p>
        </w:tc>
        <w:tc>
          <w:tcPr>
            <w:tcW w:type="dxa" w:w="52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May use an SSN or may choose to obtain an EIN. A DBA does not create a separate entity by itself. Keep legal name, DBA, W-9, bank, NPI, and payer records consistent.</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19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Single-member LLC</w:t>
            </w:r>
          </w:p>
        </w:tc>
        <w:tc>
          <w:tcPr>
            <w:tcW w:type="dxa" w:w="52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May be treated as disregarded for federal tax unless another tax election applies, but the LLC may still use an EIN for banking, payroll, payer enrollment, and business records. Verify with a CPA.</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19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Multi-member LLC</w:t>
            </w:r>
          </w:p>
        </w:tc>
        <w:tc>
          <w:tcPr>
            <w:tcW w:type="dxa" w:w="52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Generally needs its own EIN and separate tax reporting structure. Payer, bank, and state records should match the legal entity details.</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r>
        <w:tc>
          <w:tcPr>
            <w:tcW w:type="dxa" w:w="19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Corporation / PLLC / PC</w:t>
            </w:r>
          </w:p>
        </w:tc>
        <w:tc>
          <w:tcPr>
            <w:tcW w:type="dxa" w:w="52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Entity and professional rules vary. Tax ID, payroll, payer credentialing, and ownership records should be reviewed with a CPA and attorney.</w:t>
            </w:r>
          </w:p>
        </w:tc>
        <w:tc>
          <w:tcPr>
            <w:tcW w:type="dxa" w:w="22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130" w:before="0" w:line="260"/>
            </w:pPr>
            <w:r>
              <w:rPr>
                <w:rFonts w:ascii="Calibri" w:cs="Calibri" w:eastAsia="Calibri" w:hAnsi="Calibri"/>
                <w:b w:val="false"/>
                <w:bCs w:val="false"/>
                <w:i w:val="false"/>
                <w:iCs w:val="false"/>
                <w:color w:val="1F2933"/>
                <w:sz w:val="20"/>
                <w:szCs w:val="20"/>
              </w:rPr>
              <w:t xml:space="preserve"> </w:t>
            </w:r>
          </w:p>
        </w:tc>
      </w:tr>
    </w:tbl>
    <w:p>
      <w:pPr>
        <w:pStyle w:val="Heading1"/>
        <w:keepNext/>
        <w:spacing w:after="200" w:before="360" w:line="300"/>
      </w:pPr>
      <w:r>
        <w:rPr>
          <w:rFonts w:ascii="Calibri" w:cs="Calibri" w:eastAsia="Calibri" w:hAnsi="Calibri"/>
          <w:b/>
          <w:bCs/>
          <w:i w:val="false"/>
          <w:iCs w:val="false"/>
          <w:color w:val="2E74B5"/>
          <w:sz w:val="32"/>
          <w:szCs w:val="32"/>
        </w:rPr>
        <w:t xml:space="preserve">4. W-9 and Payer Alignment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20"/>
              <w:left w:type="dxa" w:w="140"/>
              <w:bottom w:type="dxa" w:w="120"/>
              <w:right w:type="dxa" w:w="140"/>
            </w:tcMar>
            <w:vAlign w:val="center"/>
          </w:tcPr>
          <w:p>
            <w:pPr>
              <w:spacing w:after="50" w:before="0" w:line="300"/>
            </w:pPr>
            <w:r>
              <w:rPr>
                <w:rFonts w:ascii="Calibri" w:cs="Calibri" w:eastAsia="Calibri" w:hAnsi="Calibri"/>
                <w:b/>
                <w:bCs/>
                <w:i w:val="false"/>
                <w:iCs w:val="false"/>
                <w:color w:val="1F4D78"/>
                <w:sz w:val="21"/>
                <w:szCs w:val="21"/>
              </w:rPr>
              <w:t xml:space="preserve">Alignment habit</w:t>
            </w:r>
          </w:p>
          <w:p>
            <w:pPr>
              <w:spacing w:after="0" w:before="0" w:line="280"/>
            </w:pPr>
            <w:r>
              <w:rPr>
                <w:rFonts w:ascii="Calibri" w:cs="Calibri" w:eastAsia="Calibri" w:hAnsi="Calibri"/>
                <w:b w:val="false"/>
                <w:bCs w:val="false"/>
                <w:i w:val="false"/>
                <w:iCs w:val="false"/>
                <w:color w:val="1F2933"/>
                <w:sz w:val="20"/>
                <w:szCs w:val="20"/>
              </w:rPr>
              <w:t xml:space="preserve">Before sending a W-9 or payer application, compare the legal name, DBA, tax ID, NPI, bank account, address, and payer record. Mismatches can slow credentialing, EFT setup, 1099 reporting, or reimbursement.</w:t>
            </w:r>
          </w:p>
        </w:tc>
      </w:tr>
    </w:tbl>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Legal name on W-9 matches the tax ID record or is explainable under IRS instructions.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DBA/practice name is listed where appropriate and supported by DBA records if required.</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Tax ID used on W-9 matches the payer enrollment and bank/EFT record.</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NPI profile name, taxonomy, practice address, and payer profile are consistent.</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Bank account ownership matches the legal name or entity receiving payments.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Copies of W-9s sent to payers or organizations are saved in business records.</w:t>
      </w:r>
    </w:p>
    <w:p>
      <w:pPr>
        <w:pStyle w:val="Heading1"/>
        <w:keepNext/>
        <w:spacing w:after="200" w:before="360" w:line="300"/>
      </w:pPr>
      <w:r>
        <w:rPr>
          <w:rFonts w:ascii="Calibri" w:cs="Calibri" w:eastAsia="Calibri" w:hAnsi="Calibri"/>
          <w:b/>
          <w:bCs/>
          <w:i w:val="false"/>
          <w:iCs w:val="false"/>
          <w:color w:val="2E74B5"/>
          <w:sz w:val="32"/>
          <w:szCs w:val="32"/>
        </w:rPr>
        <w:t xml:space="preserve">5. State Tax ID and Local Tax Accounts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26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Account type</w:t>
            </w:r>
          </w:p>
        </w:tc>
        <w:tc>
          <w:tcPr>
            <w:tcW w:type="dxa" w:w="49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When to verify</w:t>
            </w:r>
          </w:p>
        </w:tc>
        <w:tc>
          <w:tcPr>
            <w:tcW w:type="dxa" w:w="18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Needed?</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State business tax account</w:t>
            </w:r>
          </w:p>
        </w:tc>
        <w:tc>
          <w:tcPr>
            <w:tcW w:type="dxa" w:w="49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When registering the business or forming an entity in a state.</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30"/>
            </w:pPr>
            <w:r>
              <w:rPr>
                <w:rFonts w:ascii="Calibri" w:cs="Calibri" w:eastAsia="Calibri" w:hAnsi="Calibri"/>
                <w:b w:val="false"/>
                <w:bCs w:val="false"/>
                <w:i w:val="false"/>
                <w:iCs w:val="false"/>
                <w:color w:val="1F2933"/>
                <w:sz w:val="18"/>
                <w:szCs w:val="18"/>
              </w:rPr>
              <w:t xml:space="preserve">☐ Yes
☐ No
☐ Ask</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Sales/use tax account</w:t>
            </w:r>
          </w:p>
        </w:tc>
        <w:tc>
          <w:tcPr>
            <w:tcW w:type="dxa" w:w="49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If selling taxable goods, supplies, classes, rentals, or other taxable items under state law.</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30"/>
            </w:pPr>
            <w:r>
              <w:rPr>
                <w:rFonts w:ascii="Calibri" w:cs="Calibri" w:eastAsia="Calibri" w:hAnsi="Calibri"/>
                <w:b w:val="false"/>
                <w:bCs w:val="false"/>
                <w:i w:val="false"/>
                <w:iCs w:val="false"/>
                <w:color w:val="1F2933"/>
                <w:sz w:val="18"/>
                <w:szCs w:val="18"/>
              </w:rPr>
              <w:t xml:space="preserve">☐ Yes
☐ No
☐ Ask</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Withholding tax account</w:t>
            </w:r>
          </w:p>
        </w:tc>
        <w:tc>
          <w:tcPr>
            <w:tcW w:type="dxa" w:w="49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If hiring employees or running payroll.</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30"/>
            </w:pPr>
            <w:r>
              <w:rPr>
                <w:rFonts w:ascii="Calibri" w:cs="Calibri" w:eastAsia="Calibri" w:hAnsi="Calibri"/>
                <w:b w:val="false"/>
                <w:bCs w:val="false"/>
                <w:i w:val="false"/>
                <w:iCs w:val="false"/>
                <w:color w:val="1F2933"/>
                <w:sz w:val="18"/>
                <w:szCs w:val="18"/>
              </w:rPr>
              <w:t xml:space="preserve">☐ Yes
☐ No
☐ Ask</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Unemployment insurance account</w:t>
            </w:r>
          </w:p>
        </w:tc>
        <w:tc>
          <w:tcPr>
            <w:tcW w:type="dxa" w:w="49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If hiring employees where state unemployment registration applies.</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30"/>
            </w:pPr>
            <w:r>
              <w:rPr>
                <w:rFonts w:ascii="Calibri" w:cs="Calibri" w:eastAsia="Calibri" w:hAnsi="Calibri"/>
                <w:b w:val="false"/>
                <w:bCs w:val="false"/>
                <w:i w:val="false"/>
                <w:iCs w:val="false"/>
                <w:color w:val="1F2933"/>
                <w:sz w:val="18"/>
                <w:szCs w:val="18"/>
              </w:rPr>
              <w:t xml:space="preserve">☐ Yes
☐ No
☐ Ask</w:t>
            </w:r>
          </w:p>
        </w:tc>
      </w:tr>
      <w:tr>
        <w:tc>
          <w:tcPr>
            <w:tcW w:type="dxa" w:w="26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Local tax/license account</w:t>
            </w:r>
          </w:p>
        </w:tc>
        <w:tc>
          <w:tcPr>
            <w:tcW w:type="dxa" w:w="49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If city/county business licenses, gross receipts taxes, or local filings apply.</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30"/>
            </w:pPr>
            <w:r>
              <w:rPr>
                <w:rFonts w:ascii="Calibri" w:cs="Calibri" w:eastAsia="Calibri" w:hAnsi="Calibri"/>
                <w:b w:val="false"/>
                <w:bCs w:val="false"/>
                <w:i w:val="false"/>
                <w:iCs w:val="false"/>
                <w:color w:val="1F2933"/>
                <w:sz w:val="18"/>
                <w:szCs w:val="18"/>
              </w:rPr>
              <w:t xml:space="preserve">☐ Yes
☐ No
☐ Ask</w:t>
            </w:r>
          </w:p>
        </w:tc>
      </w:tr>
    </w:tbl>
    <w:p>
      <w:pPr>
        <w:pStyle w:val="Heading1"/>
        <w:keepNext/>
        <w:spacing w:after="200" w:before="360" w:line="300"/>
      </w:pPr>
      <w:r>
        <w:rPr>
          <w:rFonts w:ascii="Calibri" w:cs="Calibri" w:eastAsia="Calibri" w:hAnsi="Calibri"/>
          <w:b/>
          <w:bCs/>
          <w:i w:val="false"/>
          <w:iCs w:val="false"/>
          <w:color w:val="2E74B5"/>
          <w:sz w:val="32"/>
          <w:szCs w:val="32"/>
        </w:rPr>
        <w:t xml:space="preserve">6. Tax ID Records to Keep</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EIN confirmation letter or IRS confirmation notice.</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IRS 147C letter or other EIN verification letter, if requested later.</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DBA or assumed-name approval tied to the business name.</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State tax account registrations and login details.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W-9 forms sent to payers, contractors, vendors, or organizations.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Payer enrollment records showing legal name, tax ID, NPI, and EFT details.</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Bank account records showing account ownership and tax ID used.</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CPA notes about which ID to use for which purpose.</w:t>
      </w:r>
    </w:p>
    <w:p>
      <w:pPr>
        <w:spacing w:after="80" w:before="0" w:line="280"/>
      </w:pPr>
      <w:r>
        <w:rPr>
          <w:rFonts w:ascii="Calibri" w:cs="Calibri" w:eastAsia="Calibri" w:hAnsi="Calibri"/>
          <w:b/>
          <w:bCs/>
          <w:i w:val="false"/>
          <w:iCs w:val="false"/>
          <w:color w:val="2E74B5"/>
          <w:sz w:val="21"/>
          <w:szCs w:val="21"/>
        </w:rPr>
        <w:t xml:space="preserve">☐ </w:t>
      </w:r>
      <w:r>
        <w:rPr>
          <w:rFonts w:ascii="Calibri" w:cs="Calibri" w:eastAsia="Calibri" w:hAnsi="Calibri"/>
          <w:b w:val="false"/>
          <w:bCs w:val="false"/>
          <w:i w:val="false"/>
          <w:iCs w:val="false"/>
          <w:color w:val="1F2933"/>
          <w:sz w:val="20"/>
          <w:szCs w:val="20"/>
        </w:rPr>
        <w:t xml:space="preserve">Any IRS or state notices about tax ID, name mismatch, or account updates.</w:t>
      </w:r>
    </w:p>
    <w:p>
      <w:pPr>
        <w:pStyle w:val="Heading1"/>
        <w:keepNext/>
        <w:spacing w:after="200" w:before="360" w:line="300"/>
      </w:pPr>
      <w:r>
        <w:rPr>
          <w:rFonts w:ascii="Calibri" w:cs="Calibri" w:eastAsia="Calibri" w:hAnsi="Calibri"/>
          <w:b/>
          <w:bCs/>
          <w:i w:val="false"/>
          <w:iCs w:val="false"/>
          <w:color w:val="2E74B5"/>
          <w:sz w:val="32"/>
          <w:szCs w:val="32"/>
        </w:rPr>
        <w:t xml:space="preserve">7. When to Revisit Your Tax ID Setup</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30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Change</w:t>
            </w:r>
          </w:p>
        </w:tc>
        <w:tc>
          <w:tcPr>
            <w:tcW w:type="dxa" w:w="456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What to review</w:t>
            </w:r>
          </w:p>
        </w:tc>
        <w:tc>
          <w:tcPr>
            <w:tcW w:type="dxa" w:w="1800"/>
            <w:tcBorders>
              <w:top w:val="single" w:color="C9D3DF" w:sz="6"/>
              <w:left w:val="single" w:color="C9D3DF" w:sz="6"/>
              <w:bottom w:val="single" w:color="C9D3DF" w:sz="6"/>
              <w:right w:val="single" w:color="C9D3DF" w:sz="6"/>
            </w:tcBorders>
            <w:shd w:fill="1F4D78" w:color="auto" w:val="clear"/>
            <w:tcMar>
              <w:top w:type="dxa" w:w="120"/>
              <w:left w:type="dxa" w:w="140"/>
              <w:bottom w:type="dxa" w:w="120"/>
              <w:right w:type="dxa" w:w="140"/>
            </w:tcMar>
            <w:vAlign w:val="center"/>
          </w:tcPr>
          <w:p>
            <w:pPr>
              <w:spacing w:after="0" w:before="0" w:line="240"/>
              <w:jc w:val="center"/>
            </w:pPr>
            <w:r>
              <w:rPr>
                <w:rFonts w:ascii="Calibri" w:cs="Calibri" w:eastAsia="Calibri" w:hAnsi="Calibri"/>
                <w:b/>
                <w:bCs/>
                <w:i w:val="false"/>
                <w:iCs w:val="false"/>
                <w:color w:val="FFFFFF"/>
                <w:sz w:val="19"/>
                <w:szCs w:val="19"/>
              </w:rPr>
              <w:t xml:space="preserve">Done</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Changing from sole proprietor to LLC</w:t>
            </w:r>
          </w:p>
        </w:tc>
        <w:tc>
          <w:tcPr>
            <w:tcW w:type="dxa" w:w="45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Whether a new EIN is needed and which records must be updated.</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Changing legal name or DBA</w:t>
            </w:r>
          </w:p>
        </w:tc>
        <w:tc>
          <w:tcPr>
            <w:tcW w:type="dxa" w:w="45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IRS, state, bank, NPI, payer, website, and W-9 updates.</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Hiring employees</w:t>
            </w:r>
          </w:p>
        </w:tc>
        <w:tc>
          <w:tcPr>
            <w:tcW w:type="dxa" w:w="45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Payroll, EIN, withholding, unemployment, workers comp, and state registrations.</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Adding a partner or owner</w:t>
            </w:r>
          </w:p>
        </w:tc>
        <w:tc>
          <w:tcPr>
            <w:tcW w:type="dxa" w:w="45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Entity structure, EIN, tax classification, operating agreement, and payer records.</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Credentialing with insurance</w:t>
            </w:r>
          </w:p>
        </w:tc>
        <w:tc>
          <w:tcPr>
            <w:tcW w:type="dxa" w:w="45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Legal name, tax ID, W-9, NPI, bank/EFT, and payer profile alignment.</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r>
        <w:tc>
          <w:tcPr>
            <w:tcW w:type="dxa" w:w="3000"/>
            <w:tcBorders>
              <w:top w:val="single" w:color="C9D3DF" w:sz="6"/>
              <w:left w:val="single" w:color="C9D3DF" w:sz="6"/>
              <w:bottom w:val="single" w:color="C9D3DF" w:sz="6"/>
              <w:right w:val="single" w:color="C9D3DF" w:sz="6"/>
            </w:tcBorders>
            <w:shd w:fill="F4F6F9" w:color="auto" w:val="clear"/>
            <w:tcMar>
              <w:top w:type="dxa" w:w="120"/>
              <w:left w:type="dxa" w:w="140"/>
              <w:bottom w:type="dxa" w:w="120"/>
              <w:right w:type="dxa" w:w="140"/>
            </w:tcMar>
            <w:vAlign w:val="center"/>
          </w:tcPr>
          <w:p>
            <w:pPr>
              <w:spacing w:after="0" w:before="0" w:line="260"/>
            </w:pPr>
            <w:r>
              <w:rPr>
                <w:rFonts w:ascii="Calibri" w:cs="Calibri" w:eastAsia="Calibri" w:hAnsi="Calibri"/>
                <w:b/>
                <w:bCs/>
                <w:i w:val="false"/>
                <w:iCs w:val="false"/>
                <w:color w:val="1F4D78"/>
                <w:sz w:val="20"/>
                <w:szCs w:val="20"/>
              </w:rPr>
              <w:t xml:space="preserve">Opening or changing bank account</w:t>
            </w:r>
          </w:p>
        </w:tc>
        <w:tc>
          <w:tcPr>
            <w:tcW w:type="dxa" w:w="456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260"/>
            </w:pPr>
            <w:r>
              <w:rPr>
                <w:rFonts w:ascii="Calibri" w:cs="Calibri" w:eastAsia="Calibri" w:hAnsi="Calibri"/>
                <w:b w:val="false"/>
                <w:bCs w:val="false"/>
                <w:i w:val="false"/>
                <w:iCs w:val="false"/>
                <w:color w:val="1F2933"/>
                <w:sz w:val="20"/>
                <w:szCs w:val="20"/>
              </w:rPr>
              <w:t xml:space="preserve">Whether the tax ID and legal name match payer/EFT records.</w:t>
            </w:r>
          </w:p>
        </w:tc>
        <w:tc>
          <w:tcPr>
            <w:tcW w:type="dxa" w:w="1800"/>
            <w:tcBorders>
              <w:top w:val="single" w:color="C9D3DF" w:sz="6"/>
              <w:left w:val="single" w:color="C9D3DF" w:sz="6"/>
              <w:bottom w:val="single" w:color="C9D3DF" w:sz="6"/>
              <w:right w:val="single" w:color="C9D3DF" w:sz="6"/>
            </w:tcBorders>
            <w:tcMar>
              <w:top w:type="dxa" w:w="120"/>
              <w:left w:type="dxa" w:w="140"/>
              <w:bottom w:type="dxa" w:w="120"/>
              <w:right w:type="dxa" w:w="140"/>
            </w:tcMar>
            <w:vAlign w:val="center"/>
          </w:tcPr>
          <w:p>
            <w:pPr>
              <w:spacing w:after="0" w:before="0" w:line="300"/>
              <w:jc w:val="center"/>
            </w:pPr>
            <w:r>
              <w:rPr>
                <w:rFonts w:ascii="Calibri" w:cs="Calibri" w:eastAsia="Calibri" w:hAnsi="Calibri"/>
                <w:b/>
                <w:bCs/>
                <w:i w:val="false"/>
                <w:iCs w:val="false"/>
                <w:color w:val="2E74B5"/>
                <w:sz w:val="22"/>
                <w:szCs w:val="22"/>
              </w:rPr>
              <w:t xml:space="preserve">☐</w:t>
            </w:r>
          </w:p>
        </w:tc>
      </w:tr>
    </w:tbl>
    <w:p>
      <w:pPr>
        <w:pStyle w:val="Heading1"/>
        <w:keepNext/>
        <w:spacing w:after="200" w:before="360" w:line="300"/>
      </w:pPr>
      <w:r>
        <w:rPr>
          <w:rFonts w:ascii="Calibri" w:cs="Calibri" w:eastAsia="Calibri" w:hAnsi="Calibri"/>
          <w:b/>
          <w:bCs/>
          <w:i w:val="false"/>
          <w:iCs w:val="false"/>
          <w:color w:val="2E74B5"/>
          <w:sz w:val="32"/>
          <w:szCs w:val="32"/>
        </w:rPr>
        <w:t xml:space="preserve">8. Advisor Questions</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Should I use my SSN, an EIN, or an entity EIN for banking, W-9s, and payer credentialing?</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Does my LLC, DBA, or professional entity setup require a different tax ID strategy?</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Do I need a state tax ID, sales/use tax account, withholding account, or unemployment account?</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How should my W-9 be completed so the legal name and tax ID match correctly?</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What records should be updated if I change structure, name, address, bank, NPI, or payer setup?</w:t>
      </w:r>
    </w:p>
    <w:p>
      <w:pPr>
        <w:pStyle w:val="ListParagraph"/>
        <w:numPr>
          <w:ilvl w:val="0"/>
          <w:numId w:val="2"/>
        </w:numPr>
        <w:spacing w:after="80" w:before="0" w:line="280"/>
      </w:pPr>
      <w:r>
        <w:rPr>
          <w:rFonts w:ascii="Calibri" w:cs="Calibri" w:eastAsia="Calibri" w:hAnsi="Calibri"/>
          <w:b w:val="false"/>
          <w:bCs w:val="false"/>
          <w:i w:val="false"/>
          <w:iCs w:val="false"/>
          <w:color w:val="1F2933"/>
          <w:sz w:val="20"/>
          <w:szCs w:val="20"/>
        </w:rPr>
        <w:t xml:space="preserve">When would I need a new EIN rather than updating an existing record?</w:t>
      </w:r>
    </w:p>
    <w:p>
      <w:pPr>
        <w:spacing w:after="90" w:before="20" w:line="260"/>
      </w:pPr>
      <w:r>
        <w:rPr>
          <w:rFonts w:ascii="Calibri" w:cs="Calibri" w:eastAsia="Calibri" w:hAnsi="Calibri"/>
          <w:b/>
          <w:bCs/>
          <w:i w:val="false"/>
          <w:iCs w:val="false"/>
          <w:color w:val="1F4D78"/>
          <w:sz w:val="20"/>
          <w:szCs w:val="20"/>
        </w:rPr>
        <w:t xml:space="preserve">CPA or tax advisor contact: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Date tax ID setup was reviewed: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pStyle w:val="Heading1"/>
        <w:keepNext/>
        <w:spacing w:after="200" w:before="360" w:line="300"/>
      </w:pPr>
      <w:r>
        <w:rPr>
          <w:rFonts w:ascii="Calibri" w:cs="Calibri" w:eastAsia="Calibri" w:hAnsi="Calibri"/>
          <w:b/>
          <w:bCs/>
          <w:i w:val="false"/>
          <w:iCs w:val="false"/>
          <w:color w:val="2E74B5"/>
          <w:sz w:val="32"/>
          <w:szCs w:val="32"/>
        </w:rPr>
        <w:t xml:space="preserve">Source Notes</w:t>
      </w:r>
    </w:p>
    <w:p>
      <w:pPr>
        <w:spacing w:after="120" w:before="0" w:line="280"/>
      </w:pPr>
      <w:r>
        <w:rPr>
          <w:rFonts w:ascii="Calibri" w:cs="Calibri" w:eastAsia="Calibri" w:hAnsi="Calibri"/>
          <w:b w:val="false"/>
          <w:bCs w:val="false"/>
          <w:i w:val="false"/>
          <w:iCs w:val="false"/>
          <w:color w:val="1F2933"/>
          <w:sz w:val="20"/>
          <w:szCs w:val="20"/>
        </w:rPr>
        <w:t xml:space="preserve">Federal tax ID concepts verified against IRS EIN, TIN, ITIN, and Form W-9 resources, and the SBA overview of federal and state tax ID numbers. Review the current official pages before filing or credentialing: </w:t>
      </w:r>
      <w:hyperlink w:history="1" r:id="rIdkd_8w7ddtc3ivxij7ozqv">
        <w:r>
          <w:rPr>
            <w:rStyle w:val="Hyperlink"/>
            <w:rFonts w:ascii="Calibri" w:cs="Calibri" w:eastAsia="Calibri" w:hAnsi="Calibri"/>
            <w:color w:val="2E74B5"/>
            <w:sz w:val="20"/>
            <w:szCs w:val="20"/>
            <w:u w:val="single"/>
          </w:rPr>
          <w:t xml:space="preserve">IRS EIN</w:t>
        </w:r>
      </w:hyperlink>
      <w:r>
        <w:rPr>
          <w:rFonts w:ascii="Calibri" w:cs="Calibri" w:eastAsia="Calibri" w:hAnsi="Calibri"/>
          <w:b w:val="false"/>
          <w:bCs w:val="false"/>
          <w:i w:val="false"/>
          <w:iCs w:val="false"/>
          <w:color w:val="1F2933"/>
          <w:sz w:val="20"/>
          <w:szCs w:val="20"/>
        </w:rPr>
        <w:t xml:space="preserve">; </w:t>
      </w:r>
      <w:hyperlink w:history="1" r:id="rIdzg9y0k1pqvgvwtu0wtsb-">
        <w:r>
          <w:rPr>
            <w:rStyle w:val="Hyperlink"/>
            <w:rFonts w:ascii="Calibri" w:cs="Calibri" w:eastAsia="Calibri" w:hAnsi="Calibri"/>
            <w:color w:val="2E74B5"/>
            <w:sz w:val="20"/>
            <w:szCs w:val="20"/>
            <w:u w:val="single"/>
          </w:rPr>
          <w:t xml:space="preserve">IRS TIN</w:t>
        </w:r>
      </w:hyperlink>
      <w:r>
        <w:rPr>
          <w:rFonts w:ascii="Calibri" w:cs="Calibri" w:eastAsia="Calibri" w:hAnsi="Calibri"/>
          <w:b w:val="false"/>
          <w:bCs w:val="false"/>
          <w:i w:val="false"/>
          <w:iCs w:val="false"/>
          <w:color w:val="1F2933"/>
          <w:sz w:val="20"/>
          <w:szCs w:val="20"/>
        </w:rPr>
        <w:t xml:space="preserve">; </w:t>
      </w:r>
      <w:hyperlink w:history="1" r:id="rIdj2nryedojsps4n_awmyha">
        <w:r>
          <w:rPr>
            <w:rStyle w:val="Hyperlink"/>
            <w:rFonts w:ascii="Calibri" w:cs="Calibri" w:eastAsia="Calibri" w:hAnsi="Calibri"/>
            <w:color w:val="2E74B5"/>
            <w:sz w:val="20"/>
            <w:szCs w:val="20"/>
            <w:u w:val="single"/>
          </w:rPr>
          <w:t xml:space="preserve">SBA Federal and State Tax ID Numbers</w:t>
        </w:r>
      </w:hyperlink>
    </w:p>
    <w:sectPr>
      <w:headerReference w:type="default" r:id="rId7"/>
      <w:footerReference w:type="default" r:id="rId8"/>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b w:val="false"/>
        <w:bCs w:val="false"/>
        <w:i w:val="false"/>
        <w:iCs w:val="false"/>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r>
      <w:rPr>
        <w:rFonts w:ascii="Calibri" w:cs="Calibri" w:eastAsia="Calibri" w:hAnsi="Calibri"/>
        <w:b w:val="false"/>
        <w:bCs w:val="false"/>
        <w:i w:val="false"/>
        <w:iCs w:val="false"/>
        <w:color w:val="5B6472"/>
        <w:sz w:val="18"/>
        <w:szCs w:val="18"/>
      </w:rPr>
      <w:t xml:space="preserve"> of </w:t>
    </w:r>
    <w:r>
      <w:rPr>
        <w:rFonts w:ascii="Calibri" w:cs="Calibri" w:eastAsia="Calibri" w:hAnsi="Calibri"/>
        <w:color w:val="5B64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line="300"/>
      <w:jc w:val="right"/>
    </w:pPr>
    <w:r>
      <w:rPr>
        <w:rFonts w:ascii="Calibri" w:cs="Calibri" w:eastAsia="Calibri" w:hAnsi="Calibri"/>
        <w:b w:val="false"/>
        <w:bCs w:val="false"/>
        <w:i w:val="false"/>
        <w:iCs w:val="false"/>
        <w:color w:val="5B6472"/>
        <w:sz w:val="18"/>
        <w:szCs w:val="18"/>
      </w:rPr>
      <w:t xml:space="preserve">IBCLC Practice Guide | Tax ID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rFonts w:ascii="Symbol" w:cs="Symbol" w:eastAsia="Symbol" w:hAnsi="Symbo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3"/>
        <w:sz w:val="22"/>
        <w:szCs w:val="22"/>
      </w:rPr>
    </w:rPrDefault>
    <w:pPrDefault>
      <w:pPr>
        <w:spacing w:after="12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200" w:before="360"/>
    </w:pPr>
    <w:rPr>
      <w:rFonts w:ascii="Calibri" w:cs="Calibri" w:eastAsia="Calibri" w:hAnsi="Calibri"/>
      <w:b/>
      <w:bCs/>
      <w:color w:val="2E74B5"/>
      <w:sz w:val="32"/>
      <w:szCs w:val="32"/>
    </w:rPr>
  </w:style>
  <w:style w:type="paragraph" w:styleId="Heading2">
    <w:name w:val="Heading 2"/>
    <w:basedOn w:val="Normal"/>
    <w:next w:val="Normal"/>
    <w:qFormat/>
    <w:pPr>
      <w:keepNext/>
      <w:spacing w:after="140" w:before="280"/>
    </w:pPr>
    <w:rPr>
      <w:rFonts w:ascii="Calibri" w:cs="Calibri" w:eastAsia="Calibri" w:hAnsi="Calibri"/>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kd_8w7ddtc3ivxij7ozqv" Type="http://schemas.openxmlformats.org/officeDocument/2006/relationships/hyperlink" Target="https://www.irs.gov/businesses/employer-identification-number" TargetMode="External"/><Relationship Id="rIdzg9y0k1pqvgvwtu0wtsb-" Type="http://schemas.openxmlformats.org/officeDocument/2006/relationships/hyperlink" Target="https://www.irs.gov/individuals/international-taxpayers/taxpayer-identification-numbers-tin" TargetMode="External"/><Relationship Id="rIdj2nryedojsps4n_awmyha" Type="http://schemas.openxmlformats.org/officeDocument/2006/relationships/hyperlink" Target="https://www.sba.gov/business-guide/launch-your-business/get-federal-state-tax-id-number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ID Reference Guide</dc:title>
  <dc:creator>Codex</dc:creator>
  <dc:description>IBCLC Practice Guide tax ID reference guide</dc:description>
  <cp:lastModifiedBy>Un-named</cp:lastModifiedBy>
  <cp:revision>1</cp:revision>
  <dcterms:created xsi:type="dcterms:W3CDTF">2026-06-30T16:25:43.334Z</dcterms:created>
  <dcterms:modified xsi:type="dcterms:W3CDTF">2026-06-30T16:25:43.335Z</dcterms:modified>
</cp:coreProperties>
</file>

<file path=docProps/custom.xml><?xml version="1.0" encoding="utf-8"?>
<Properties xmlns="http://schemas.openxmlformats.org/officeDocument/2006/custom-properties" xmlns:vt="http://schemas.openxmlformats.org/officeDocument/2006/docPropsVTypes"/>
</file>