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keepNext w:val="false"/>
        <w:spacing w:after="70" w:before="0" w:line="300"/>
        <w:jc w:val="left"/>
      </w:pPr>
      <w:r>
        <w:rPr>
          <w:rFonts w:ascii="Calibri" w:cs="Calibri" w:eastAsia="Calibri" w:hAnsi="Calibri"/>
          <w:b/>
          <w:bCs/>
          <w:i w:val="false"/>
          <w:iCs w:val="false"/>
          <w:color w:val="1F4D78"/>
          <w:sz w:val="32"/>
          <w:szCs w:val="32"/>
        </w:rPr>
        <w:t xml:space="preserve">Office Policy Manual</w:t>
      </w:r>
    </w:p>
    <w:p>
      <w:pPr>
        <w:keepNext w:val="false"/>
        <w:spacing w:after="180" w:before="0" w:line="300"/>
        <w:jc w:val="left"/>
      </w:pPr>
      <w:r>
        <w:rPr>
          <w:rFonts w:ascii="Calibri" w:cs="Calibri" w:eastAsia="Calibri" w:hAnsi="Calibri"/>
          <w:b w:val="false"/>
          <w:bCs w:val="false"/>
          <w:i w:val="false"/>
          <w:iCs w:val="false"/>
          <w:color w:val="5B6472"/>
          <w:sz w:val="20"/>
          <w:szCs w:val="20"/>
        </w:rPr>
        <w:t xml:space="preserve">Umbrella policy manual template for an IBCLC practice.</w:t>
      </w:r>
    </w:p>
    <w:tbl>
      <w:tblPr>
        <w:tblW w:type="dxa" w:w="9360"/>
        <w:tblBorders>
          <w:top w:val="single" w:color="C9D3DF" w:sz="6"/>
          <w:left w:val="single" w:color="C9D3DF" w:sz="6"/>
          <w:bottom w:val="single" w:color="C9D3DF" w:sz="6"/>
          <w:right w:val="single" w:color="C9D3DF" w:sz="6"/>
          <w:insideH w:val="single" w:color="C9D3DF" w:sz="4"/>
          <w:insideV w:val="single" w:color="C9D3DF" w:sz="4"/>
        </w:tblBorders>
        <w:tblCellMar>
          <w:top w:type="dxa" w:w="80"/>
          <w:left w:type="dxa" w:w="120"/>
          <w:bottom w:type="dxa" w:w="80"/>
          <w:right w:type="dxa" w:w="120"/>
        </w:tblCellMar>
      </w:tblPr>
      <w:tblGrid>
        <w:gridCol w:w="100"/>
        <w:gridCol w:w="100"/>
        <w:gridCol w:w="100"/>
      </w:tblGrid>
      <w:tr>
        <w:trPr>
          <w:tblHeader w:val="false"/>
        </w:trPr>
        <w:tc>
          <w:tcPr>
            <w:tcW w:type="dxa" w:w="312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Practice name</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Policy number</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Effective date</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312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Approved by</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Last reviewed</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Next review due</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bl>
    <w:tbl>
      <w:tblPr>
        <w:tblW w:type="dxa" w:w="9360"/>
        <w:tblBorders>
          <w:top w:val="single" w:color="C9D3DF" w:sz="6"/>
          <w:left w:val="single" w:color="C9D3DF" w:sz="6"/>
          <w:bottom w:val="single" w:color="C9D3DF" w:sz="6"/>
          <w:right w:val="single" w:color="C9D3DF" w:sz="6"/>
          <w:insideH w:val="single" w:color="C9D3DF" w:sz="4"/>
          <w:insideV w:val="single" w:color="C9D3DF" w:sz="4"/>
        </w:tblBorders>
        <w:tblCellMar>
          <w:top w:type="dxa" w:w="80"/>
          <w:left w:type="dxa" w:w="120"/>
          <w:bottom w:type="dxa" w:w="80"/>
          <w:right w:type="dxa" w:w="120"/>
        </w:tblCellMar>
      </w:tblPr>
      <w:tblGrid>
        <w:gridCol w:w="100"/>
      </w:tblGrid>
      <w:tr>
        <w:trPr>
          <w:tblHeader w:val="false"/>
        </w:trPr>
        <w:tc>
          <w:tcPr>
            <w:tcW w:type="dxa" w:w="936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Customization note</w:t>
            </w:r>
          </w:p>
          <w:p>
            <w:pPr>
              <w:keepNext w:val="false"/>
              <w:spacing w:after="40" w:before="0" w:line="300"/>
              <w:jc w:val="left"/>
            </w:pPr>
            <w:r>
              <w:rPr>
                <w:rFonts w:ascii="Calibri" w:cs="Calibri" w:eastAsia="Calibri" w:hAnsi="Calibri"/>
                <w:b w:val="false"/>
                <w:bCs w:val="false"/>
                <w:i w:val="false"/>
                <w:iCs w:val="false"/>
                <w:color w:val="1F2937"/>
                <w:sz w:val="22"/>
                <w:szCs w:val="22"/>
              </w:rPr>
              <w:t xml:space="preserve">Review this template with your attorney, compliance advisor, malpractice carrier, and applicable state rules before adopting it as final practice policy.</w:t>
            </w:r>
          </w:p>
        </w:tc>
      </w:tr>
    </w:tbl>
    <w:p>
      <w:pPr>
        <w:keepNext/>
        <w:shd w:fill="2E74B5" w:color="auto" w:val="clear"/>
        <w:spacing w:after="90" w:before="220" w:line="300"/>
        <w:ind w:left="120"/>
      </w:pPr>
      <w:r>
        <w:rPr>
          <w:rFonts w:ascii="Calibri" w:cs="Calibri" w:eastAsia="Calibri" w:hAnsi="Calibri"/>
          <w:b/>
          <w:bCs/>
          <w:i w:val="false"/>
          <w:iCs w:val="false"/>
          <w:color w:val="FFFFFF"/>
          <w:sz w:val="24"/>
          <w:szCs w:val="24"/>
        </w:rPr>
        <w:t xml:space="preserve">Purpose</w:t>
      </w:r>
    </w:p>
    <w:p>
      <w:pPr>
        <w:keepNext w:val="false"/>
        <w:spacing w:after="120" w:before="0" w:line="300"/>
        <w:jc w:val="left"/>
      </w:pPr>
      <w:r>
        <w:rPr>
          <w:rFonts w:ascii="Calibri" w:cs="Calibri" w:eastAsia="Calibri" w:hAnsi="Calibri"/>
          <w:b w:val="false"/>
          <w:bCs w:val="false"/>
          <w:i w:val="false"/>
          <w:iCs w:val="false"/>
          <w:color w:val="1F2937"/>
          <w:sz w:val="22"/>
          <w:szCs w:val="22"/>
        </w:rPr>
        <w:t xml:space="preserve">This manual establishes the operating policies that guide patient service, documentation, communication, payment, safety, privacy, and practice administration.</w:t>
      </w:r>
    </w:p>
    <w:p>
      <w:pPr>
        <w:keepNext/>
        <w:shd w:fill="2E74B5" w:color="auto" w:val="clear"/>
        <w:spacing w:after="90" w:before="220" w:line="300"/>
        <w:ind w:left="120"/>
      </w:pPr>
      <w:r>
        <w:rPr>
          <w:rFonts w:ascii="Calibri" w:cs="Calibri" w:eastAsia="Calibri" w:hAnsi="Calibri"/>
          <w:b/>
          <w:bCs/>
          <w:i w:val="false"/>
          <w:iCs w:val="false"/>
          <w:color w:val="FFFFFF"/>
          <w:sz w:val="24"/>
          <w:szCs w:val="24"/>
        </w:rPr>
        <w:t xml:space="preserve">Manual Control</w:t>
      </w:r>
    </w:p>
    <w:tbl>
      <w:tblPr>
        <w:tblW w:type="dxa" w:w="9360"/>
        <w:tblBorders>
          <w:top w:val="single" w:color="C9D3DF" w:sz="6"/>
          <w:left w:val="single" w:color="C9D3DF" w:sz="6"/>
          <w:bottom w:val="single" w:color="C9D3DF" w:sz="6"/>
          <w:right w:val="single" w:color="C9D3DF" w:sz="6"/>
          <w:insideH w:val="single" w:color="C9D3DF" w:sz="4"/>
          <w:insideV w:val="single" w:color="C9D3DF" w:sz="4"/>
        </w:tblBorders>
        <w:tblCellMar>
          <w:top w:type="dxa" w:w="80"/>
          <w:left w:type="dxa" w:w="120"/>
          <w:bottom w:type="dxa" w:w="80"/>
          <w:right w:type="dxa" w:w="120"/>
        </w:tblCellMar>
      </w:tblPr>
      <w:tblGrid>
        <w:gridCol w:w="100"/>
        <w:gridCol w:w="100"/>
        <w:gridCol w:w="100"/>
      </w:tblGrid>
      <w:tr>
        <w:trPr>
          <w:tblHeader w:val="false"/>
        </w:trPr>
        <w:tc>
          <w:tcPr>
            <w:tcW w:type="dxa" w:w="312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Manual owner</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Version</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Date adopted</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312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Review frequency</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Storage location</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c>
          <w:tcPr>
            <w:tcW w:type="dxa" w:w="312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Staff acknowledgment required</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bl>
    <w:p>
      <w:pPr>
        <w:keepNext/>
        <w:shd w:fill="2E74B5" w:color="auto" w:val="clear"/>
        <w:spacing w:after="90" w:before="220" w:line="300"/>
        <w:ind w:left="120"/>
      </w:pPr>
      <w:r>
        <w:rPr>
          <w:rFonts w:ascii="Calibri" w:cs="Calibri" w:eastAsia="Calibri" w:hAnsi="Calibri"/>
          <w:b/>
          <w:bCs/>
          <w:i w:val="false"/>
          <w:iCs w:val="false"/>
          <w:color w:val="FFFFFF"/>
          <w:sz w:val="24"/>
          <w:szCs w:val="24"/>
        </w:rPr>
        <w:t xml:space="preserve">Core Policy Index</w:t>
      </w:r>
    </w:p>
    <w:tbl>
      <w:tblPr>
        <w:tblW w:type="dxa" w:w="9360"/>
        <w:tblBorders>
          <w:top w:val="single" w:color="C9D3DF" w:sz="6"/>
          <w:left w:val="single" w:color="C9D3DF" w:sz="6"/>
          <w:bottom w:val="single" w:color="C9D3DF" w:sz="6"/>
          <w:right w:val="single" w:color="C9D3DF" w:sz="6"/>
          <w:insideH w:val="single" w:color="C9D3DF" w:sz="4"/>
          <w:insideV w:val="single" w:color="C9D3DF" w:sz="4"/>
        </w:tblBorders>
        <w:tblCellMar>
          <w:top w:type="dxa" w:w="80"/>
          <w:left w:type="dxa" w:w="120"/>
          <w:bottom w:type="dxa" w:w="80"/>
          <w:right w:type="dxa" w:w="120"/>
        </w:tblCellMar>
      </w:tblPr>
      <w:tblGrid>
        <w:gridCol w:w="100"/>
        <w:gridCol w:w="100"/>
        <w:gridCol w:w="100"/>
      </w:tblGrid>
      <w:tr>
        <w:trPr>
          <w:tblHeader/>
        </w:trPr>
        <w:tc>
          <w:tcPr>
            <w:tcW w:type="dxa" w:w="250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Policy area</w:t>
            </w:r>
          </w:p>
        </w:tc>
        <w:tc>
          <w:tcPr>
            <w:tcW w:type="dxa" w:w="486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Included document</w:t>
            </w:r>
          </w:p>
        </w:tc>
        <w:tc>
          <w:tcPr>
            <w:tcW w:type="dxa" w:w="200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Status</w:t>
            </w:r>
          </w:p>
        </w:tc>
      </w:tr>
      <w:tr>
        <w:trPr>
          <w:tblHeader w:val="false"/>
        </w:trPr>
        <w:tc>
          <w:tcPr>
            <w:tcW w:type="dxa" w:w="250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Financial and payment</w:t>
            </w:r>
          </w:p>
        </w:tc>
        <w:tc>
          <w:tcPr>
            <w:tcW w:type="dxa" w:w="486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Financial Policy</w:t>
            </w:r>
          </w:p>
        </w:tc>
        <w:tc>
          <w:tcPr>
            <w:tcW w:type="dxa" w:w="20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250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Scheduling</w:t>
            </w:r>
          </w:p>
        </w:tc>
        <w:tc>
          <w:tcPr>
            <w:tcW w:type="dxa" w:w="486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Cancellation, no-show, and late arrival policies</w:t>
            </w:r>
          </w:p>
        </w:tc>
        <w:tc>
          <w:tcPr>
            <w:tcW w:type="dxa" w:w="20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250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Communication</w:t>
            </w:r>
          </w:p>
        </w:tc>
        <w:tc>
          <w:tcPr>
            <w:tcW w:type="dxa" w:w="486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Communication and after-hours policies</w:t>
            </w:r>
          </w:p>
        </w:tc>
        <w:tc>
          <w:tcPr>
            <w:tcW w:type="dxa" w:w="20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250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Telehealth</w:t>
            </w:r>
          </w:p>
        </w:tc>
        <w:tc>
          <w:tcPr>
            <w:tcW w:type="dxa" w:w="486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Telehealth policy and consent workflow</w:t>
            </w:r>
          </w:p>
        </w:tc>
        <w:tc>
          <w:tcPr>
            <w:tcW w:type="dxa" w:w="20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250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Safety</w:t>
            </w:r>
          </w:p>
        </w:tc>
        <w:tc>
          <w:tcPr>
            <w:tcW w:type="dxa" w:w="486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Infection control, emergency procedures, chaperone policy</w:t>
            </w:r>
          </w:p>
        </w:tc>
        <w:tc>
          <w:tcPr>
            <w:tcW w:type="dxa" w:w="20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r>
        <w:trPr>
          <w:tblHeader w:val="false"/>
        </w:trPr>
        <w:tc>
          <w:tcPr>
            <w:tcW w:type="dxa" w:w="250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Operations</w:t>
            </w:r>
          </w:p>
        </w:tc>
        <w:tc>
          <w:tcPr>
            <w:tcW w:type="dxa" w:w="4860"/>
            <w:tcMar>
              <w:top w:type="dxa" w:w="100"/>
              <w:left w:type="dxa" w:w="120"/>
              <w:bottom w:type="dxa" w:w="100"/>
              <w:right w:type="dxa" w:w="120"/>
            </w:tcMar>
            <w:vAlign w:val="center"/>
          </w:tcPr>
          <w:p>
            <w:pPr>
              <w:keepNext w:val="false"/>
              <w:spacing w:after="120" w:before="0" w:line="300"/>
              <w:jc w:val="left"/>
            </w:pPr>
            <w:r>
              <w:rPr>
                <w:rFonts w:ascii="Calibri" w:cs="Calibri" w:eastAsia="Calibri" w:hAnsi="Calibri"/>
                <w:b w:val="false"/>
                <w:bCs w:val="false"/>
                <w:i w:val="false"/>
                <w:iCs w:val="false"/>
                <w:color w:val="1F2937"/>
                <w:sz w:val="22"/>
                <w:szCs w:val="22"/>
              </w:rPr>
              <w:t xml:space="preserve">Standard operating procedure templates</w:t>
            </w:r>
          </w:p>
        </w:tc>
        <w:tc>
          <w:tcPr>
            <w:tcW w:type="dxa" w:w="20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w:t>
            </w:r>
          </w:p>
        </w:tc>
      </w:tr>
    </w:tbl>
    <w:p>
      <w:pPr>
        <w:keepNext/>
        <w:shd w:fill="2E74B5" w:color="auto" w:val="clear"/>
        <w:spacing w:after="90" w:before="220" w:line="300"/>
        <w:ind w:left="120"/>
      </w:pPr>
      <w:r>
        <w:rPr>
          <w:rFonts w:ascii="Calibri" w:cs="Calibri" w:eastAsia="Calibri" w:hAnsi="Calibri"/>
          <w:b/>
          <w:bCs/>
          <w:i w:val="false"/>
          <w:iCs w:val="false"/>
          <w:color w:val="FFFFFF"/>
          <w:sz w:val="24"/>
          <w:szCs w:val="24"/>
        </w:rPr>
        <w:t xml:space="preserve">Adoption Statement</w:t>
      </w:r>
    </w:p>
    <w:p>
      <w:pPr>
        <w:keepNext w:val="false"/>
        <w:spacing w:after="120" w:before="0" w:line="300"/>
        <w:jc w:val="left"/>
      </w:pPr>
      <w:r>
        <w:rPr>
          <w:rFonts w:ascii="Calibri" w:cs="Calibri" w:eastAsia="Calibri" w:hAnsi="Calibri"/>
          <w:b w:val="false"/>
          <w:bCs w:val="false"/>
          <w:i w:val="false"/>
          <w:iCs w:val="false"/>
          <w:color w:val="1F2937"/>
          <w:sz w:val="22"/>
          <w:szCs w:val="22"/>
        </w:rPr>
        <w:t xml:space="preserve">The practice adopts the policies in this manual as internal operating standards. Policies should be reviewed at least annually and whenever laws, payer contracts, staffing, services, or practice workflows materially change.</w:t>
      </w:r>
    </w:p>
    <w:p>
      <w:pPr>
        <w:keepNext/>
        <w:shd w:fill="2E74B5" w:color="auto" w:val="clear"/>
        <w:spacing w:after="90" w:before="220" w:line="300"/>
        <w:ind w:left="120"/>
      </w:pPr>
      <w:r>
        <w:rPr>
          <w:rFonts w:ascii="Calibri" w:cs="Calibri" w:eastAsia="Calibri" w:hAnsi="Calibri"/>
          <w:b/>
          <w:bCs/>
          <w:i w:val="false"/>
          <w:iCs w:val="false"/>
          <w:color w:val="FFFFFF"/>
          <w:sz w:val="24"/>
          <w:szCs w:val="24"/>
        </w:rPr>
        <w:t xml:space="preserve">Staff / Contractor Acknowledgment</w:t>
      </w:r>
    </w:p>
    <w:tbl>
      <w:tblPr>
        <w:tblW w:type="dxa" w:w="9360"/>
        <w:tblBorders>
          <w:top w:val="single" w:color="C9D3DF" w:sz="6"/>
          <w:left w:val="single" w:color="C9D3DF" w:sz="6"/>
          <w:bottom w:val="single" w:color="C9D3DF" w:sz="6"/>
          <w:right w:val="single" w:color="C9D3DF" w:sz="6"/>
          <w:insideH w:val="single" w:color="C9D3DF" w:sz="4"/>
          <w:insideV w:val="single" w:color="C9D3DF" w:sz="4"/>
        </w:tblBorders>
        <w:tblCellMar>
          <w:top w:type="dxa" w:w="80"/>
          <w:left w:type="dxa" w:w="120"/>
          <w:bottom w:type="dxa" w:w="80"/>
          <w:right w:type="dxa" w:w="120"/>
        </w:tblCellMar>
      </w:tblPr>
      <w:tblGrid>
        <w:gridCol w:w="100"/>
      </w:tblGrid>
      <w:tr>
        <w:trPr>
          <w:tblHeader w:val="false"/>
        </w:trPr>
        <w:tc>
          <w:tcPr>
            <w:tcW w:type="dxa" w:w="9360"/>
            <w:shd w:fill="E8EEF5" w:color="auto" w:val="clear"/>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Name, role, signature, and date</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r>
    </w:tbl>
    <w:p>
      <w:pPr>
        <w:keepNext/>
        <w:shd w:fill="2E74B5" w:color="auto" w:val="clear"/>
        <w:spacing w:after="90" w:before="220" w:line="300"/>
        <w:ind w:left="120"/>
      </w:pPr>
      <w:r>
        <w:rPr>
          <w:rFonts w:ascii="Calibri" w:cs="Calibri" w:eastAsia="Calibri" w:hAnsi="Calibri"/>
          <w:b/>
          <w:bCs/>
          <w:i w:val="false"/>
          <w:iCs w:val="false"/>
          <w:color w:val="FFFFFF"/>
          <w:sz w:val="24"/>
          <w:szCs w:val="24"/>
        </w:rPr>
        <w:t xml:space="preserve">Policy Review Log</w:t>
      </w:r>
    </w:p>
    <w:tbl>
      <w:tblPr>
        <w:tblW w:type="dxa" w:w="9360"/>
        <w:tblBorders>
          <w:top w:val="single" w:color="C9D3DF" w:sz="6"/>
          <w:left w:val="single" w:color="C9D3DF" w:sz="6"/>
          <w:bottom w:val="single" w:color="C9D3DF" w:sz="6"/>
          <w:right w:val="single" w:color="C9D3DF" w:sz="6"/>
          <w:insideH w:val="single" w:color="C9D3DF" w:sz="4"/>
          <w:insideV w:val="single" w:color="C9D3DF" w:sz="4"/>
        </w:tblBorders>
        <w:tblCellMar>
          <w:top w:type="dxa" w:w="80"/>
          <w:left w:type="dxa" w:w="120"/>
          <w:bottom w:type="dxa" w:w="80"/>
          <w:right w:type="dxa" w:w="120"/>
        </w:tblCellMar>
      </w:tblPr>
      <w:tblGrid>
        <w:gridCol w:w="100"/>
        <w:gridCol w:w="100"/>
        <w:gridCol w:w="100"/>
        <w:gridCol w:w="100"/>
      </w:tblGrid>
      <w:tr>
        <w:trPr>
          <w:tblHeader/>
        </w:trPr>
        <w:tc>
          <w:tcPr>
            <w:tcW w:type="dxa" w:w="180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Date</w:t>
            </w:r>
          </w:p>
        </w:tc>
        <w:tc>
          <w:tcPr>
            <w:tcW w:type="dxa" w:w="220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Reviewer</w:t>
            </w:r>
          </w:p>
        </w:tc>
        <w:tc>
          <w:tcPr>
            <w:tcW w:type="dxa" w:w="356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Changes made</w:t>
            </w:r>
          </w:p>
        </w:tc>
        <w:tc>
          <w:tcPr>
            <w:tcW w:type="dxa" w:w="1800"/>
            <w:shd w:fill="E8EEF5" w:color="auto" w:val="clear"/>
            <w:tcMar>
              <w:top w:type="dxa" w:w="100"/>
              <w:left w:type="dxa" w:w="120"/>
              <w:bottom w:type="dxa" w:w="100"/>
              <w:right w:type="dxa" w:w="120"/>
            </w:tcMar>
            <w:vAlign w:val="center"/>
          </w:tcPr>
          <w:p>
            <w:pPr>
              <w:keepNext w:val="false"/>
              <w:spacing w:after="40" w:before="0" w:line="300"/>
              <w:jc w:val="left"/>
            </w:pPr>
            <w:r>
              <w:rPr>
                <w:rFonts w:ascii="Calibri" w:cs="Calibri" w:eastAsia="Calibri" w:hAnsi="Calibri"/>
                <w:b/>
                <w:bCs/>
                <w:i w:val="false"/>
                <w:iCs w:val="false"/>
                <w:color w:val="1F4D78"/>
                <w:sz w:val="22"/>
                <w:szCs w:val="22"/>
              </w:rPr>
              <w:t xml:space="preserve">Next review</w:t>
            </w:r>
          </w:p>
        </w:tc>
      </w:tr>
      <w:tr>
        <w:trPr>
          <w:tblHeader w:val="false"/>
        </w:trPr>
        <w:tc>
          <w:tcPr>
            <w:tcW w:type="dxa" w:w="18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22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356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18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r>
      <w:tr>
        <w:trPr>
          <w:tblHeader w:val="false"/>
        </w:trPr>
        <w:tc>
          <w:tcPr>
            <w:tcW w:type="dxa" w:w="18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22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356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18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r>
      <w:tr>
        <w:trPr>
          <w:tblHeader w:val="false"/>
        </w:trPr>
        <w:tc>
          <w:tcPr>
            <w:tcW w:type="dxa" w:w="18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22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356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c>
          <w:tcPr>
            <w:tcW w:type="dxa" w:w="1800"/>
            <w:tcMar>
              <w:top w:type="dxa" w:w="100"/>
              <w:left w:type="dxa" w:w="120"/>
              <w:bottom w:type="dxa" w:w="100"/>
              <w:right w:type="dxa" w:w="120"/>
            </w:tcMar>
            <w:vAlign w:val="center"/>
          </w:tcPr>
          <w:p>
            <w:pPr>
              <w:keepNext w:val="false"/>
              <w:spacing w:after="35" w:before="0" w:line="300"/>
              <w:jc w:val="left"/>
            </w:pPr>
            <w:r>
              <w:rPr>
                <w:rFonts w:ascii="Calibri" w:cs="Calibri" w:eastAsia="Calibri" w:hAnsi="Calibri"/>
                <w:b/>
                <w:bCs/>
                <w:i w:val="false"/>
                <w:iCs w:val="false"/>
                <w:color w:val="1F4D78"/>
                <w:sz w:val="22"/>
                <w:szCs w:val="22"/>
              </w:rPr>
              <w:t xml:space="preserve"/>
            </w:r>
          </w:p>
          <w:p>
            <w:pPr>
              <w:keepNext w:val="false"/>
              <w:spacing w:after="35" w:before="0" w:line="300"/>
              <w:jc w:val="left"/>
            </w:pPr>
            <w:r>
              <w:rPr>
                <w:rFonts w:ascii="Calibri" w:cs="Calibri" w:eastAsia="Calibri" w:hAnsi="Calibri"/>
                <w:b w:val="false"/>
                <w:bCs w:val="false"/>
                <w:i w:val="false"/>
                <w:iCs w:val="false"/>
                <w:color w:val="5B6472"/>
                <w:sz w:val="22"/>
                <w:szCs w:val="22"/>
              </w:rPr>
              <w:t xml:space="preserve">________________________________________________________________________________</w:t>
            </w:r>
          </w:p>
        </w:tc>
      </w:tr>
    </w:tbl>
    <w:p>
      <w:pPr>
        <w:keepNext w:val="false"/>
        <w:spacing w:after="0" w:before="180" w:line="300"/>
        <w:jc w:val="left"/>
      </w:pPr>
      <w:r>
        <w:rPr>
          <w:rFonts w:ascii="Calibri" w:cs="Calibri" w:eastAsia="Calibri" w:hAnsi="Calibri"/>
          <w:b w:val="false"/>
          <w:bCs w:val="false"/>
          <w:i w:val="false"/>
          <w:iCs w:val="false"/>
          <w:color w:val="5B6472"/>
          <w:sz w:val="18"/>
          <w:szCs w:val="18"/>
        </w:rPr>
        <w:t xml:space="preserve">Template note: Customize all bracketed language, fee amounts, timelines, emergency contacts, state-specific rules, and payer requirements before use.</w:t>
      </w:r>
    </w:p>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b w:val="false"/>
        <w:bCs w:val="false"/>
        <w:i w:val="false"/>
        <w:iCs w:val="false"/>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pPr>
        <w:spacing w:after="12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Policy Manual</dc:title>
  <dc:creator>Codex</dc:creator>
  <cp:lastModifiedBy>Un-named</cp:lastModifiedBy>
  <cp:revision>1</cp:revision>
  <dcterms:created xsi:type="dcterms:W3CDTF">2026-06-30T21:39:44.316Z</dcterms:created>
  <dcterms:modified xsi:type="dcterms:W3CDTF">2026-06-30T21:39:44.317Z</dcterms:modified>
</cp:coreProperties>
</file>

<file path=docProps/custom.xml><?xml version="1.0" encoding="utf-8"?>
<Properties xmlns="http://schemas.openxmlformats.org/officeDocument/2006/custom-properties" xmlns:vt="http://schemas.openxmlformats.org/officeDocument/2006/docPropsVTypes"/>
</file>