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keepNext w:val="false"/>
        <w:spacing w:after="70" w:before="0" w:line="300"/>
        <w:jc w:val="left"/>
      </w:pPr>
      <w:r>
        <w:rPr>
          <w:rFonts w:ascii="Calibri" w:cs="Calibri" w:eastAsia="Calibri" w:hAnsi="Calibri"/>
          <w:b/>
          <w:bCs/>
          <w:i w:val="false"/>
          <w:iCs w:val="false"/>
          <w:color w:val="1F4D78"/>
          <w:sz w:val="32"/>
          <w:szCs w:val="32"/>
        </w:rPr>
        <w:t xml:space="preserve">CPT Reference Guide</w:t>
      </w:r>
    </w:p>
    <w:p>
      <w:pPr>
        <w:keepNext w:val="false"/>
        <w:spacing w:after="180" w:before="0" w:line="300"/>
        <w:jc w:val="left"/>
      </w:pPr>
      <w:r>
        <w:rPr>
          <w:rFonts w:ascii="Calibri" w:cs="Calibri" w:eastAsia="Calibri" w:hAnsi="Calibri"/>
          <w:b w:val="false"/>
          <w:bCs w:val="false"/>
          <w:i w:val="false"/>
          <w:iCs w:val="false"/>
          <w:color w:val="5B6472"/>
          <w:sz w:val="20"/>
          <w:szCs w:val="20"/>
        </w:rPr>
        <w:t xml:space="preserve">Worksheet for tracking CPT code options, payer rules, and documentation support.</w:t>
      </w:r>
    </w:p>
    <w:tbl>
      <w:tblPr>
        <w:tblW w:type="dxa" w:w="9360"/>
        <w:tblBorders>
          <w:top w:val="single" w:color="C9D3DF" w:sz="6"/>
          <w:left w:val="single" w:color="C9D3DF" w:sz="6"/>
          <w:bottom w:val="single" w:color="C9D3DF" w:sz="6"/>
          <w:right w:val="single" w:color="C9D3DF" w:sz="6"/>
          <w:insideH w:val="single" w:color="C9D3DF" w:sz="4"/>
          <w:insideV w:val="single" w:color="C9D3DF" w:sz="4"/>
        </w:tblBorders>
        <w:tblCellMar>
          <w:top w:type="dxa" w:w="80"/>
          <w:left w:type="dxa" w:w="120"/>
          <w:bottom w:type="dxa" w:w="80"/>
          <w:right w:type="dxa" w:w="120"/>
        </w:tblCellMar>
      </w:tblPr>
      <w:tblGrid>
        <w:gridCol w:w="100"/>
      </w:tblGrid>
      <w:tr>
        <w:trPr>
          <w:tblHeader w:val="false"/>
        </w:trPr>
        <w:tc>
          <w:tcPr>
            <w:tcW w:type="dxa" w:w="936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Billing caution</w:t>
            </w:r>
          </w:p>
          <w:p>
            <w:pPr>
              <w:keepNext w:val="false"/>
              <w:spacing w:after="40" w:before="0" w:line="300"/>
              <w:jc w:val="left"/>
            </w:pPr>
            <w:r>
              <w:rPr>
                <w:rFonts w:ascii="Calibri" w:cs="Calibri" w:eastAsia="Calibri" w:hAnsi="Calibri"/>
                <w:b w:val="false"/>
                <w:bCs w:val="false"/>
                <w:i w:val="false"/>
                <w:iCs w:val="false"/>
                <w:color w:val="1F2937"/>
                <w:sz w:val="22"/>
                <w:szCs w:val="22"/>
              </w:rPr>
              <w:t xml:space="preserve">This is an educational template, not legal, coding, billing, or reimbursement advice. Verify every code, modifier, diagnosis, unit, payer rule, provider credential, place of service, and documentation requirement before submitting claims.</w:t>
            </w:r>
          </w:p>
        </w:tc>
      </w:tr>
    </w:tbl>
    <w:p>
      <w:pPr>
        <w:keepNext/>
        <w:shd w:fill="2E74B5" w:color="auto" w:val="clear"/>
        <w:spacing w:after="90" w:before="220" w:line="300"/>
        <w:ind w:left="120"/>
      </w:pPr>
      <w:r>
        <w:rPr>
          <w:rFonts w:ascii="Calibri" w:cs="Calibri" w:eastAsia="Calibri" w:hAnsi="Calibri"/>
          <w:b/>
          <w:bCs/>
          <w:i w:val="false"/>
          <w:iCs w:val="false"/>
          <w:color w:val="FFFFFF"/>
          <w:sz w:val="24"/>
          <w:szCs w:val="24"/>
        </w:rPr>
        <w:t xml:space="preserve">How To Use This Guide</w:t>
      </w:r>
    </w:p>
    <w:p>
      <w:pPr>
        <w:keepNext w:val="false"/>
        <w:spacing w:after="120" w:before="0" w:line="300"/>
        <w:jc w:val="left"/>
      </w:pPr>
      <w:r>
        <w:rPr>
          <w:rFonts w:ascii="Calibri" w:cs="Calibri" w:eastAsia="Calibri" w:hAnsi="Calibri"/>
          <w:b w:val="false"/>
          <w:bCs w:val="false"/>
          <w:i w:val="false"/>
          <w:iCs w:val="false"/>
          <w:color w:val="1F2937"/>
          <w:sz w:val="22"/>
          <w:szCs w:val="22"/>
        </w:rPr>
        <w:t xml:space="preserve">CPT codes and descriptors are maintained by the AMA and updated regularly. Use this guide to organize code options discussed with payers or coders, then verify against the current CPT code set and payer policy before billing.</w:t>
      </w:r>
    </w:p>
    <w:p>
      <w:pPr>
        <w:keepNext/>
        <w:shd w:fill="2E74B5" w:color="auto" w:val="clear"/>
        <w:spacing w:after="90" w:before="220" w:line="300"/>
        <w:ind w:left="120"/>
      </w:pPr>
      <w:r>
        <w:rPr>
          <w:rFonts w:ascii="Calibri" w:cs="Calibri" w:eastAsia="Calibri" w:hAnsi="Calibri"/>
          <w:b/>
          <w:bCs/>
          <w:i w:val="false"/>
          <w:iCs w:val="false"/>
          <w:color w:val="FFFFFF"/>
          <w:sz w:val="24"/>
          <w:szCs w:val="24"/>
        </w:rPr>
        <w:t xml:space="preserve">Common Code Areas To Verify</w:t>
      </w:r>
    </w:p>
    <w:tbl>
      <w:tblPr>
        <w:tblW w:type="dxa" w:w="9360"/>
        <w:tblBorders>
          <w:top w:val="single" w:color="C9D3DF" w:sz="6"/>
          <w:left w:val="single" w:color="C9D3DF" w:sz="6"/>
          <w:bottom w:val="single" w:color="C9D3DF" w:sz="6"/>
          <w:right w:val="single" w:color="C9D3DF" w:sz="6"/>
          <w:insideH w:val="single" w:color="C9D3DF" w:sz="4"/>
          <w:insideV w:val="single" w:color="C9D3DF" w:sz="4"/>
        </w:tblBorders>
        <w:tblCellMar>
          <w:top w:type="dxa" w:w="80"/>
          <w:left w:type="dxa" w:w="120"/>
          <w:bottom w:type="dxa" w:w="80"/>
          <w:right w:type="dxa" w:w="120"/>
        </w:tblCellMar>
      </w:tblPr>
      <w:tblGrid>
        <w:gridCol w:w="100"/>
        <w:gridCol w:w="100"/>
        <w:gridCol w:w="100"/>
      </w:tblGrid>
      <w:tr>
        <w:trPr>
          <w:tblHeader/>
        </w:trPr>
        <w:tc>
          <w:tcPr>
            <w:tcW w:type="dxa" w:w="260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Code area</w:t>
            </w:r>
          </w:p>
        </w:tc>
        <w:tc>
          <w:tcPr>
            <w:tcW w:type="dxa" w:w="420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Often evaluated for</w:t>
            </w:r>
          </w:p>
        </w:tc>
        <w:tc>
          <w:tcPr>
            <w:tcW w:type="dxa" w:w="256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Verification notes</w:t>
            </w:r>
          </w:p>
        </w:tc>
      </w:tr>
      <w:tr>
        <w:trPr>
          <w:tblHeader w:val="false"/>
        </w:trPr>
        <w:tc>
          <w:tcPr>
            <w:tcW w:type="dxa" w:w="26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Preventive counseling / risk reduction</w:t>
            </w:r>
          </w:p>
        </w:tc>
        <w:tc>
          <w:tcPr>
            <w:tcW w:type="dxa" w:w="4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Education or counseling services when payer policy allows</w:t>
            </w:r>
          </w:p>
        </w:tc>
        <w:tc>
          <w:tcPr>
            <w:tcW w:type="dxa" w:w="25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6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Education and training services</w:t>
            </w:r>
          </w:p>
        </w:tc>
        <w:tc>
          <w:tcPr>
            <w:tcW w:type="dxa" w:w="4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Individual or group patient education when requirements are met</w:t>
            </w:r>
          </w:p>
        </w:tc>
        <w:tc>
          <w:tcPr>
            <w:tcW w:type="dxa" w:w="25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6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Office / outpatient E/M</w:t>
            </w:r>
          </w:p>
        </w:tc>
        <w:tc>
          <w:tcPr>
            <w:tcW w:type="dxa" w:w="4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When provider type, scope, documentation, and payer rules support E/M billing</w:t>
            </w:r>
          </w:p>
        </w:tc>
        <w:tc>
          <w:tcPr>
            <w:tcW w:type="dxa" w:w="25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6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Telehealth-eligible services</w:t>
            </w:r>
          </w:p>
        </w:tc>
        <w:tc>
          <w:tcPr>
            <w:tcW w:type="dxa" w:w="4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Remote services when payer and state rules allow</w:t>
            </w:r>
          </w:p>
        </w:tc>
        <w:tc>
          <w:tcPr>
            <w:tcW w:type="dxa" w:w="25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26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Prolonged or add-on services</w:t>
            </w:r>
          </w:p>
        </w:tc>
        <w:tc>
          <w:tcPr>
            <w:tcW w:type="dxa" w:w="4200"/>
            <w:tcMar>
              <w:top w:type="dxa" w:w="100"/>
              <w:left w:type="dxa" w:w="120"/>
              <w:bottom w:type="dxa" w:w="100"/>
              <w:right w:type="dxa" w:w="120"/>
            </w:tcMar>
            <w:vAlign w:val="center"/>
          </w:tcPr>
          <w:p>
            <w:pPr>
              <w:keepNext w:val="false"/>
              <w:spacing w:after="120" w:before="0" w:line="300"/>
              <w:jc w:val="left"/>
            </w:pPr>
            <w:r>
              <w:rPr>
                <w:rFonts w:ascii="Calibri" w:cs="Calibri" w:eastAsia="Calibri" w:hAnsi="Calibri"/>
                <w:b w:val="false"/>
                <w:bCs w:val="false"/>
                <w:i w:val="false"/>
                <w:iCs w:val="false"/>
                <w:color w:val="1F2937"/>
                <w:sz w:val="22"/>
                <w:szCs w:val="22"/>
              </w:rPr>
              <w:t xml:space="preserve">Only when current CPT and payer rules support time-based reporting</w:t>
            </w:r>
          </w:p>
        </w:tc>
        <w:tc>
          <w:tcPr>
            <w:tcW w:type="dxa" w:w="25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bl>
    <w:p>
      <w:pPr>
        <w:keepNext/>
        <w:shd w:fill="2E74B5" w:color="auto" w:val="clear"/>
        <w:spacing w:after="90" w:before="220" w:line="300"/>
        <w:ind w:left="120"/>
      </w:pPr>
      <w:r>
        <w:rPr>
          <w:rFonts w:ascii="Calibri" w:cs="Calibri" w:eastAsia="Calibri" w:hAnsi="Calibri"/>
          <w:b/>
          <w:bCs/>
          <w:i w:val="false"/>
          <w:iCs w:val="false"/>
          <w:color w:val="FFFFFF"/>
          <w:sz w:val="24"/>
          <w:szCs w:val="24"/>
        </w:rPr>
        <w:t xml:space="preserve">CPT Tracking Table</w:t>
      </w:r>
    </w:p>
    <w:tbl>
      <w:tblPr>
        <w:tblW w:type="dxa" w:w="9360"/>
        <w:tblBorders>
          <w:top w:val="single" w:color="C9D3DF" w:sz="6"/>
          <w:left w:val="single" w:color="C9D3DF" w:sz="6"/>
          <w:bottom w:val="single" w:color="C9D3DF" w:sz="6"/>
          <w:right w:val="single" w:color="C9D3DF" w:sz="6"/>
          <w:insideH w:val="single" w:color="C9D3DF" w:sz="4"/>
          <w:insideV w:val="single" w:color="C9D3DF" w:sz="4"/>
        </w:tblBorders>
        <w:tblCellMar>
          <w:top w:type="dxa" w:w="80"/>
          <w:left w:type="dxa" w:w="120"/>
          <w:bottom w:type="dxa" w:w="80"/>
          <w:right w:type="dxa" w:w="120"/>
        </w:tblCellMar>
      </w:tblPr>
      <w:tblGrid>
        <w:gridCol w:w="100"/>
        <w:gridCol w:w="100"/>
        <w:gridCol w:w="100"/>
        <w:gridCol w:w="100"/>
        <w:gridCol w:w="100"/>
      </w:tblGrid>
      <w:tr>
        <w:trPr>
          <w:tblHeader/>
        </w:trPr>
        <w:tc>
          <w:tcPr>
            <w:tcW w:type="dxa" w:w="110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Code</w:t>
            </w:r>
          </w:p>
        </w:tc>
        <w:tc>
          <w:tcPr>
            <w:tcW w:type="dxa" w:w="210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Short internal label</w:t>
            </w:r>
          </w:p>
        </w:tc>
        <w:tc>
          <w:tcPr>
            <w:tcW w:type="dxa" w:w="170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Payer</w:t>
            </w:r>
          </w:p>
        </w:tc>
        <w:tc>
          <w:tcPr>
            <w:tcW w:type="dxa" w:w="316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Requirements / documentation</w:t>
            </w:r>
          </w:p>
        </w:tc>
        <w:tc>
          <w:tcPr>
            <w:tcW w:type="dxa" w:w="130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Status</w:t>
            </w:r>
          </w:p>
        </w:tc>
      </w:tr>
      <w:tr>
        <w:trPr>
          <w:tblHeader w:val="false"/>
        </w:trPr>
        <w:tc>
          <w:tcPr>
            <w:tcW w:type="dxa" w:w="1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2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7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31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3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1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2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7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31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3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1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2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7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31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3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1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2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7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31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3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1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2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7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31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3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1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2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7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31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3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1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2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7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31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3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r>
        <w:trPr>
          <w:tblHeader w:val="false"/>
        </w:trPr>
        <w:tc>
          <w:tcPr>
            <w:tcW w:type="dxa" w:w="1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21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7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316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c>
          <w:tcPr>
            <w:tcW w:type="dxa" w:w="1300"/>
            <w:tcMar>
              <w:top w:type="dxa" w:w="100"/>
              <w:left w:type="dxa" w:w="120"/>
              <w:bottom w:type="dxa" w:w="100"/>
              <w:right w:type="dxa" w:w="120"/>
            </w:tcMar>
            <w:vAlign w:val="center"/>
          </w:tcPr>
          <w:p>
            <w:pPr>
              <w:keepNext w:val="false"/>
              <w:spacing w:after="35" w:before="0" w:line="300"/>
              <w:jc w:val="left"/>
            </w:pPr>
            <w:r>
              <w:rPr>
                <w:rFonts w:ascii="Calibri" w:cs="Calibri" w:eastAsia="Calibri" w:hAnsi="Calibri"/>
                <w:b w:val="false"/>
                <w:bCs w:val="false"/>
                <w:i w:val="false"/>
                <w:iCs w:val="false"/>
                <w:color w:val="5B6472"/>
                <w:sz w:val="22"/>
                <w:szCs w:val="22"/>
              </w:rPr>
              <w:t xml:space="preserve">________________________________________________________________________________</w:t>
            </w:r>
          </w:p>
        </w:tc>
      </w:tr>
    </w:tbl>
    <w:p>
      <w:pPr>
        <w:keepNext/>
        <w:shd w:fill="2E74B5" w:color="auto" w:val="clear"/>
        <w:spacing w:after="90" w:before="220" w:line="300"/>
        <w:ind w:left="120"/>
      </w:pPr>
      <w:r>
        <w:rPr>
          <w:rFonts w:ascii="Calibri" w:cs="Calibri" w:eastAsia="Calibri" w:hAnsi="Calibri"/>
          <w:b/>
          <w:bCs/>
          <w:i w:val="false"/>
          <w:iCs w:val="false"/>
          <w:color w:val="FFFFFF"/>
          <w:sz w:val="24"/>
          <w:szCs w:val="24"/>
        </w:rPr>
        <w:t xml:space="preserve">Documentation Check</w:t>
      </w:r>
    </w:p>
    <w:tbl>
      <w:tblPr>
        <w:tblW w:type="dxa" w:w="9360"/>
        <w:tblBorders>
          <w:top w:val="single" w:color="C9D3DF" w:sz="6"/>
          <w:left w:val="single" w:color="C9D3DF" w:sz="6"/>
          <w:bottom w:val="single" w:color="C9D3DF" w:sz="6"/>
          <w:right w:val="single" w:color="C9D3DF" w:sz="6"/>
          <w:insideH w:val="single" w:color="C9D3DF" w:sz="4"/>
          <w:insideV w:val="single" w:color="C9D3DF" w:sz="4"/>
        </w:tblBorders>
        <w:tblCellMar>
          <w:top w:type="dxa" w:w="80"/>
          <w:left w:type="dxa" w:w="120"/>
          <w:bottom w:type="dxa" w:w="80"/>
          <w:right w:type="dxa" w:w="120"/>
        </w:tblCellMar>
      </w:tblPr>
      <w:tblGrid>
        <w:gridCol w:w="100"/>
        <w:gridCol w:w="100"/>
      </w:tblGrid>
      <w:tr>
        <w:trPr>
          <w:tblHeader w:val="false"/>
        </w:trPr>
        <w:tc>
          <w:tcPr>
            <w:tcW w:type="dxa" w:w="4680"/>
            <w:shd w:fill="E8EEF5" w:color="auto" w:val="clear"/>
            <w:tcMar>
              <w:top w:type="dxa" w:w="100"/>
              <w:left w:type="dxa" w:w="120"/>
              <w:bottom w:type="dxa" w:w="100"/>
              <w:right w:type="dxa" w:w="120"/>
            </w:tcMar>
            <w:vAlign w:val="center"/>
          </w:tcPr>
          <w:p>
            <w:pPr>
              <w:keepNext w:val="false"/>
              <w:spacing w:after="60" w:before="0" w:line="300"/>
              <w:jc w:val="left"/>
            </w:pPr>
            <w:r>
              <w:rPr>
                <w:rFonts w:ascii="Calibri" w:cs="Calibri" w:eastAsia="Calibri" w:hAnsi="Calibri"/>
                <w:b w:val="false"/>
                <w:bCs w:val="false"/>
                <w:i w:val="false"/>
                <w:iCs w:val="false"/>
                <w:color w:val="1F2937"/>
                <w:sz w:val="22"/>
                <w:szCs w:val="22"/>
              </w:rPr>
              <w:t xml:space="preserve">[ ] Chief concern documented</w:t>
            </w:r>
          </w:p>
        </w:tc>
        <w:tc>
          <w:tcPr>
            <w:tcW w:type="dxa" w:w="4680"/>
            <w:shd w:fill="E8EEF5" w:color="auto" w:val="clear"/>
            <w:tcMar>
              <w:top w:type="dxa" w:w="100"/>
              <w:left w:type="dxa" w:w="120"/>
              <w:bottom w:type="dxa" w:w="100"/>
              <w:right w:type="dxa" w:w="120"/>
            </w:tcMar>
            <w:vAlign w:val="center"/>
          </w:tcPr>
          <w:p>
            <w:pPr>
              <w:keepNext w:val="false"/>
              <w:spacing w:after="60" w:before="0" w:line="300"/>
              <w:jc w:val="left"/>
            </w:pPr>
            <w:r>
              <w:rPr>
                <w:rFonts w:ascii="Calibri" w:cs="Calibri" w:eastAsia="Calibri" w:hAnsi="Calibri"/>
                <w:b w:val="false"/>
                <w:bCs w:val="false"/>
                <w:i w:val="false"/>
                <w:iCs w:val="false"/>
                <w:color w:val="1F2937"/>
                <w:sz w:val="22"/>
                <w:szCs w:val="22"/>
              </w:rPr>
              <w:t xml:space="preserve">[ ] Assessment documented</w:t>
            </w:r>
          </w:p>
        </w:tc>
      </w:tr>
      <w:tr>
        <w:trPr>
          <w:tblHeader w:val="false"/>
        </w:trPr>
        <w:tc>
          <w:tcPr>
            <w:tcW w:type="dxa" w:w="4680"/>
            <w:tcMar>
              <w:top w:type="dxa" w:w="100"/>
              <w:left w:type="dxa" w:w="120"/>
              <w:bottom w:type="dxa" w:w="100"/>
              <w:right w:type="dxa" w:w="120"/>
            </w:tcMar>
            <w:vAlign w:val="center"/>
          </w:tcPr>
          <w:p>
            <w:pPr>
              <w:keepNext w:val="false"/>
              <w:spacing w:after="60" w:before="0" w:line="300"/>
              <w:jc w:val="left"/>
            </w:pPr>
            <w:r>
              <w:rPr>
                <w:rFonts w:ascii="Calibri" w:cs="Calibri" w:eastAsia="Calibri" w:hAnsi="Calibri"/>
                <w:b w:val="false"/>
                <w:bCs w:val="false"/>
                <w:i w:val="false"/>
                <w:iCs w:val="false"/>
                <w:color w:val="1F2937"/>
                <w:sz w:val="22"/>
                <w:szCs w:val="22"/>
              </w:rPr>
              <w:t xml:space="preserve">[ ] Medical necessity supported</w:t>
            </w:r>
          </w:p>
        </w:tc>
        <w:tc>
          <w:tcPr>
            <w:tcW w:type="dxa" w:w="4680"/>
            <w:tcMar>
              <w:top w:type="dxa" w:w="100"/>
              <w:left w:type="dxa" w:w="120"/>
              <w:bottom w:type="dxa" w:w="100"/>
              <w:right w:type="dxa" w:w="120"/>
            </w:tcMar>
            <w:vAlign w:val="center"/>
          </w:tcPr>
          <w:p>
            <w:pPr>
              <w:keepNext w:val="false"/>
              <w:spacing w:after="60" w:before="0" w:line="300"/>
              <w:jc w:val="left"/>
            </w:pPr>
            <w:r>
              <w:rPr>
                <w:rFonts w:ascii="Calibri" w:cs="Calibri" w:eastAsia="Calibri" w:hAnsi="Calibri"/>
                <w:b w:val="false"/>
                <w:bCs w:val="false"/>
                <w:i w:val="false"/>
                <w:iCs w:val="false"/>
                <w:color w:val="1F2937"/>
                <w:sz w:val="22"/>
                <w:szCs w:val="22"/>
              </w:rPr>
              <w:t xml:space="preserve">[ ] Time documented if time-based</w:t>
            </w:r>
          </w:p>
        </w:tc>
      </w:tr>
      <w:tr>
        <w:trPr>
          <w:tblHeader w:val="false"/>
        </w:trPr>
        <w:tc>
          <w:tcPr>
            <w:tcW w:type="dxa" w:w="4680"/>
            <w:tcMar>
              <w:top w:type="dxa" w:w="100"/>
              <w:left w:type="dxa" w:w="120"/>
              <w:bottom w:type="dxa" w:w="100"/>
              <w:right w:type="dxa" w:w="120"/>
            </w:tcMar>
            <w:vAlign w:val="center"/>
          </w:tcPr>
          <w:p>
            <w:pPr>
              <w:keepNext w:val="false"/>
              <w:spacing w:after="60" w:before="0" w:line="300"/>
              <w:jc w:val="left"/>
            </w:pPr>
            <w:r>
              <w:rPr>
                <w:rFonts w:ascii="Calibri" w:cs="Calibri" w:eastAsia="Calibri" w:hAnsi="Calibri"/>
                <w:b w:val="false"/>
                <w:bCs w:val="false"/>
                <w:i w:val="false"/>
                <w:iCs w:val="false"/>
                <w:color w:val="1F2937"/>
                <w:sz w:val="22"/>
                <w:szCs w:val="22"/>
              </w:rPr>
              <w:t xml:space="preserve">[ ] Provider signature present</w:t>
            </w:r>
          </w:p>
        </w:tc>
        <w:tc>
          <w:tcPr>
            <w:tcW w:type="dxa" w:w="4680"/>
            <w:tcMar>
              <w:top w:type="dxa" w:w="100"/>
              <w:left w:type="dxa" w:w="120"/>
              <w:bottom w:type="dxa" w:w="100"/>
              <w:right w:type="dxa" w:w="120"/>
            </w:tcMar>
            <w:vAlign w:val="center"/>
          </w:tcPr>
          <w:p>
            <w:pPr>
              <w:keepNext w:val="false"/>
              <w:spacing w:after="60" w:before="0" w:line="300"/>
              <w:jc w:val="left"/>
            </w:pPr>
            <w:r>
              <w:rPr>
                <w:rFonts w:ascii="Calibri" w:cs="Calibri" w:eastAsia="Calibri" w:hAnsi="Calibri"/>
                <w:b w:val="false"/>
                <w:bCs w:val="false"/>
                <w:i w:val="false"/>
                <w:iCs w:val="false"/>
                <w:color w:val="1F2937"/>
                <w:sz w:val="22"/>
                <w:szCs w:val="22"/>
              </w:rPr>
              <w:t xml:space="preserve">[ ] Care plan included</w:t>
            </w:r>
          </w:p>
        </w:tc>
      </w:tr>
      <w:tr>
        <w:trPr>
          <w:tblHeader w:val="false"/>
        </w:trPr>
        <w:tc>
          <w:tcPr>
            <w:tcW w:type="dxa" w:w="4680"/>
            <w:tcMar>
              <w:top w:type="dxa" w:w="100"/>
              <w:left w:type="dxa" w:w="120"/>
              <w:bottom w:type="dxa" w:w="100"/>
              <w:right w:type="dxa" w:w="120"/>
            </w:tcMar>
            <w:vAlign w:val="center"/>
          </w:tcPr>
          <w:p>
            <w:pPr>
              <w:keepNext w:val="false"/>
              <w:spacing w:after="60" w:before="0" w:line="300"/>
              <w:jc w:val="left"/>
            </w:pPr>
            <w:r>
              <w:rPr>
                <w:rFonts w:ascii="Calibri" w:cs="Calibri" w:eastAsia="Calibri" w:hAnsi="Calibri"/>
                <w:b w:val="false"/>
                <w:bCs w:val="false"/>
                <w:i w:val="false"/>
                <w:iCs w:val="false"/>
                <w:color w:val="1F2937"/>
                <w:sz w:val="22"/>
                <w:szCs w:val="22"/>
              </w:rPr>
              <w:t xml:space="preserve">[ ] Diagnosis linked</w:t>
            </w:r>
          </w:p>
        </w:tc>
        <w:tc>
          <w:tcPr>
            <w:tcW w:type="dxa" w:w="4680"/>
            <w:tcMar>
              <w:top w:type="dxa" w:w="100"/>
              <w:left w:type="dxa" w:w="120"/>
              <w:bottom w:type="dxa" w:w="100"/>
              <w:right w:type="dxa" w:w="120"/>
            </w:tcMar>
            <w:vAlign w:val="center"/>
          </w:tcPr>
          <w:p>
            <w:pPr>
              <w:keepNext w:val="false"/>
              <w:spacing w:after="60" w:before="0" w:line="300"/>
              <w:jc w:val="left"/>
            </w:pPr>
            <w:r>
              <w:rPr>
                <w:rFonts w:ascii="Calibri" w:cs="Calibri" w:eastAsia="Calibri" w:hAnsi="Calibri"/>
                <w:b w:val="false"/>
                <w:bCs w:val="false"/>
                <w:i w:val="false"/>
                <w:iCs w:val="false"/>
                <w:color w:val="1F2937"/>
                <w:sz w:val="22"/>
                <w:szCs w:val="22"/>
              </w:rPr>
              <w:t xml:space="preserve">[ ] Telehealth requirements met if applicable</w:t>
            </w:r>
          </w:p>
        </w:tc>
      </w:tr>
    </w:tbl>
    <w:tbl>
      <w:tblPr>
        <w:tblW w:type="dxa" w:w="9360"/>
        <w:tblBorders>
          <w:top w:val="single" w:color="C9D3DF" w:sz="6"/>
          <w:left w:val="single" w:color="C9D3DF" w:sz="6"/>
          <w:bottom w:val="single" w:color="C9D3DF" w:sz="6"/>
          <w:right w:val="single" w:color="C9D3DF" w:sz="6"/>
          <w:insideH w:val="single" w:color="C9D3DF" w:sz="4"/>
          <w:insideV w:val="single" w:color="C9D3DF" w:sz="4"/>
        </w:tblBorders>
        <w:tblCellMar>
          <w:top w:type="dxa" w:w="80"/>
          <w:left w:type="dxa" w:w="120"/>
          <w:bottom w:type="dxa" w:w="80"/>
          <w:right w:type="dxa" w:w="120"/>
        </w:tblCellMar>
      </w:tblPr>
      <w:tblGrid>
        <w:gridCol w:w="100"/>
      </w:tblGrid>
      <w:tr>
        <w:trPr>
          <w:tblHeader w:val="false"/>
        </w:trPr>
        <w:tc>
          <w:tcPr>
            <w:tcW w:type="dxa" w:w="9360"/>
            <w:shd w:fill="E8EEF5" w:color="auto" w:val="clear"/>
            <w:tcMar>
              <w:top w:type="dxa" w:w="100"/>
              <w:left w:type="dxa" w:w="120"/>
              <w:bottom w:type="dxa" w:w="100"/>
              <w:right w:type="dxa" w:w="120"/>
            </w:tcMar>
            <w:vAlign w:val="center"/>
          </w:tcPr>
          <w:p>
            <w:pPr>
              <w:keepNext w:val="false"/>
              <w:spacing w:after="40" w:before="0" w:line="300"/>
              <w:jc w:val="left"/>
            </w:pPr>
            <w:r>
              <w:rPr>
                <w:rFonts w:ascii="Calibri" w:cs="Calibri" w:eastAsia="Calibri" w:hAnsi="Calibri"/>
                <w:b/>
                <w:bCs/>
                <w:i w:val="false"/>
                <w:iCs w:val="false"/>
                <w:color w:val="1F4D78"/>
                <w:sz w:val="22"/>
                <w:szCs w:val="22"/>
              </w:rPr>
              <w:t xml:space="preserve">Reference sources to verify before use</w:t>
            </w:r>
          </w:p>
          <w:p>
            <w:pPr>
              <w:keepNext w:val="false"/>
              <w:spacing w:after="40" w:before="0" w:line="300"/>
              <w:jc w:val="left"/>
            </w:pPr>
            <w:r>
              <w:rPr>
                <w:rFonts w:ascii="Calibri" w:cs="Calibri" w:eastAsia="Calibri" w:hAnsi="Calibri"/>
                <w:b w:val="false"/>
                <w:bCs w:val="false"/>
                <w:i w:val="false"/>
                <w:iCs w:val="false"/>
                <w:color w:val="1F2937"/>
                <w:sz w:val="22"/>
                <w:szCs w:val="22"/>
              </w:rPr>
              <w:t xml:space="preserve">Current AMA CPT code set and payer policies; CMS HCPCS Level II files; CDC/NCHS ICD-10-CM files and official guidelines; payer contracts, medical policies, provider manuals, and clearinghouse edits.</w:t>
            </w:r>
          </w:p>
        </w:tc>
      </w:tr>
    </w:tbl>
    <w:p>
      <w:pPr>
        <w:keepNext w:val="false"/>
        <w:spacing w:after="0" w:before="180" w:line="300"/>
        <w:jc w:val="left"/>
      </w:pPr>
      <w:r>
        <w:rPr>
          <w:rFonts w:ascii="Calibri" w:cs="Calibri" w:eastAsia="Calibri" w:hAnsi="Calibri"/>
          <w:b w:val="false"/>
          <w:bCs w:val="false"/>
          <w:i w:val="false"/>
          <w:iCs w:val="false"/>
          <w:color w:val="5B6472"/>
          <w:sz w:val="18"/>
          <w:szCs w:val="18"/>
        </w:rPr>
        <w:t xml:space="preserve">Template note: Customize for your payer contracts, provider type, state scope, EHR/clearinghouse workflow, and compliance review before use.</w:t>
      </w:r>
    </w:p>
    <w:sectPr>
      <w:footerReference w:type="default" r:id="rId7"/>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b w:val="false"/>
        <w:bCs w:val="false"/>
        <w:i w:val="false"/>
        <w:iCs w:val="false"/>
        <w:color w:val="5B6472"/>
        <w:sz w:val="18"/>
        <w:szCs w:val="18"/>
      </w:rPr>
      <w:t xml:space="preserve">Page </w:t>
    </w:r>
    <w:r>
      <w:rPr>
        <w:rFonts w:ascii="Calibri" w:cs="Calibri" w:eastAsia="Calibri" w:hAnsi="Calibri"/>
        <w:color w:val="5B6472"/>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7"/>
        <w:sz w:val="22"/>
        <w:szCs w:val="22"/>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CPT Reference Guide</dc:title>
  <dc:creator>Codex</dc:creator>
  <cp:lastModifiedBy>Un-named</cp:lastModifiedBy>
  <cp:revision>1</cp:revision>
  <dcterms:created xsi:type="dcterms:W3CDTF">2026-06-30T22:27:04.169Z</dcterms:created>
  <dcterms:modified xsi:type="dcterms:W3CDTF">2026-06-30T22:27:04.169Z</dcterms:modified>
</cp:coreProperties>
</file>

<file path=docProps/custom.xml><?xml version="1.0" encoding="utf-8"?>
<Properties xmlns="http://schemas.openxmlformats.org/officeDocument/2006/custom-properties" xmlns:vt="http://schemas.openxmlformats.org/officeDocument/2006/docPropsVTypes"/>
</file>