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DE67" w14:textId="77777777" w:rsidR="00A72204" w:rsidRDefault="00F3410C">
      <w:pPr>
        <w:spacing w:after="30"/>
      </w:pPr>
      <w:r>
        <w:rPr>
          <w:b/>
          <w:bCs/>
          <w:color w:val="1F4D78"/>
          <w:sz w:val="34"/>
          <w:szCs w:val="34"/>
        </w:rPr>
        <w:t>Breastfeeding Basics</w:t>
      </w:r>
    </w:p>
    <w:p w14:paraId="3EB4E85D" w14:textId="77777777" w:rsidR="00A72204" w:rsidRDefault="00F3410C">
      <w:pPr>
        <w:spacing w:after="130"/>
      </w:pPr>
      <w:r>
        <w:rPr>
          <w:color w:val="5B6472"/>
        </w:rPr>
        <w:t>General overview of breastfeeding fundamentals for new parents</w:t>
      </w:r>
    </w:p>
    <w:p w14:paraId="3D43148C" w14:textId="77777777" w:rsidR="00A72204" w:rsidRDefault="00F3410C">
      <w:pPr>
        <w:spacing w:after="70" w:line="240" w:lineRule="auto"/>
      </w:pPr>
      <w:r>
        <w:rPr>
          <w:color w:val="5B6472"/>
          <w:sz w:val="18"/>
          <w:szCs w:val="18"/>
        </w:rPr>
        <w:t>Breastfeeding is a learned skill for both parent and baby. This guide reviews positioning, latch, feeding cues, and common early challenges.</w:t>
      </w:r>
    </w:p>
    <w:tbl>
      <w:tblPr>
        <w:tblW w:w="9360" w:type="dxa"/>
        <w:tblBorders>
          <w:top w:val="single" w:sz="4" w:space="0" w:color="C9D3DF"/>
          <w:left w:val="single" w:sz="4" w:space="0" w:color="C9D3DF"/>
          <w:bottom w:val="single" w:sz="4" w:space="0" w:color="C9D3DF"/>
          <w:right w:val="single" w:sz="4" w:space="0" w:color="C9D3DF"/>
          <w:insideH w:val="single" w:sz="4" w:space="0" w:color="C9D3DF"/>
          <w:insideV w:val="single" w:sz="4" w:space="0" w:color="C9D3DF"/>
        </w:tblBorders>
        <w:tblCellMar>
          <w:left w:w="10" w:type="dxa"/>
          <w:right w:w="10" w:type="dxa"/>
        </w:tblCellMar>
        <w:tblLook w:val="04A0" w:firstRow="1" w:lastRow="0" w:firstColumn="1" w:lastColumn="0" w:noHBand="0" w:noVBand="1"/>
      </w:tblPr>
      <w:tblGrid>
        <w:gridCol w:w="9360"/>
      </w:tblGrid>
      <w:tr w:rsidR="00A72204" w14:paraId="77B8F7A1" w14:textId="77777777">
        <w:tblPrEx>
          <w:tblCellMar>
            <w:top w:w="0" w:type="dxa"/>
            <w:bottom w:w="0" w:type="dxa"/>
          </w:tblCellMar>
        </w:tblPrEx>
        <w:tc>
          <w:tcPr>
            <w:tcW w:w="0" w:type="auto"/>
            <w:tcBorders>
              <w:top w:val="single" w:sz="4" w:space="0" w:color="C9D3DF"/>
              <w:left w:val="single" w:sz="4" w:space="0" w:color="C9D3DF"/>
              <w:bottom w:val="single" w:sz="4" w:space="0" w:color="C9D3DF"/>
              <w:right w:val="single" w:sz="4" w:space="0" w:color="C9D3DF"/>
            </w:tcBorders>
            <w:shd w:val="clear" w:color="auto" w:fill="F5F8FB"/>
            <w:tcMar>
              <w:top w:w="110" w:type="dxa"/>
              <w:left w:w="140" w:type="dxa"/>
              <w:bottom w:w="100" w:type="dxa"/>
              <w:right w:w="140" w:type="dxa"/>
            </w:tcMar>
          </w:tcPr>
          <w:p w14:paraId="517813C1" w14:textId="77777777" w:rsidR="00A72204" w:rsidRDefault="00F3410C">
            <w:pPr>
              <w:spacing w:after="55"/>
            </w:pPr>
            <w:r>
              <w:rPr>
                <w:b/>
                <w:bCs/>
                <w:color w:val="1F4D78"/>
                <w:sz w:val="21"/>
                <w:szCs w:val="21"/>
              </w:rPr>
              <w:t>Quick Takeaways</w:t>
            </w:r>
          </w:p>
          <w:p w14:paraId="069AA53D" w14:textId="77777777" w:rsidR="00A72204" w:rsidRDefault="00F3410C">
            <w:pPr>
              <w:pStyle w:val="ListParagraph"/>
              <w:numPr>
                <w:ilvl w:val="0"/>
                <w:numId w:val="2"/>
              </w:numPr>
              <w:spacing w:after="55" w:line="260" w:lineRule="auto"/>
            </w:pPr>
            <w:r>
              <w:rPr>
                <w:sz w:val="21"/>
                <w:szCs w:val="21"/>
              </w:rPr>
              <w:t>Bring baby close with their whole body facing you.</w:t>
            </w:r>
          </w:p>
          <w:p w14:paraId="75C1CBA1" w14:textId="77777777" w:rsidR="00A72204" w:rsidRDefault="00F3410C">
            <w:pPr>
              <w:pStyle w:val="ListParagraph"/>
              <w:numPr>
                <w:ilvl w:val="0"/>
                <w:numId w:val="2"/>
              </w:numPr>
              <w:spacing w:after="55" w:line="260" w:lineRule="auto"/>
            </w:pPr>
            <w:r>
              <w:rPr>
                <w:sz w:val="21"/>
                <w:szCs w:val="21"/>
              </w:rPr>
              <w:t>Look for early feeding cues before crying starts.</w:t>
            </w:r>
          </w:p>
          <w:p w14:paraId="26ADE1B7" w14:textId="77777777" w:rsidR="00A72204" w:rsidRDefault="00F3410C">
            <w:pPr>
              <w:pStyle w:val="ListParagraph"/>
              <w:numPr>
                <w:ilvl w:val="0"/>
                <w:numId w:val="2"/>
              </w:numPr>
              <w:spacing w:after="55" w:line="260" w:lineRule="auto"/>
            </w:pPr>
            <w:r>
              <w:rPr>
                <w:sz w:val="21"/>
                <w:szCs w:val="21"/>
              </w:rPr>
              <w:t>A deep latch is usually more comfortable and helps milk transfer.</w:t>
            </w:r>
          </w:p>
        </w:tc>
      </w:tr>
    </w:tbl>
    <w:p w14:paraId="0E00C6A4" w14:textId="77777777" w:rsidR="00A72204" w:rsidRDefault="00F3410C">
      <w:pPr>
        <w:pStyle w:val="Heading1"/>
      </w:pPr>
      <w:r>
        <w:t>Positioning Basics</w:t>
      </w:r>
    </w:p>
    <w:p w14:paraId="4ED12B76" w14:textId="77777777" w:rsidR="00A72204" w:rsidRDefault="00F3410C">
      <w:pPr>
        <w:pStyle w:val="ListParagraph"/>
        <w:numPr>
          <w:ilvl w:val="0"/>
          <w:numId w:val="2"/>
        </w:numPr>
        <w:spacing w:after="55" w:line="260" w:lineRule="auto"/>
      </w:pPr>
      <w:r>
        <w:rPr>
          <w:sz w:val="21"/>
          <w:szCs w:val="21"/>
        </w:rPr>
        <w:t>Hold your baby close, tummy-to-tummy, with ear, shoulder, and hip in a straight line.</w:t>
      </w:r>
    </w:p>
    <w:p w14:paraId="497D3C50" w14:textId="77777777" w:rsidR="00A72204" w:rsidRDefault="00F3410C">
      <w:pPr>
        <w:pStyle w:val="ListParagraph"/>
        <w:numPr>
          <w:ilvl w:val="0"/>
          <w:numId w:val="2"/>
        </w:numPr>
        <w:spacing w:after="55" w:line="260" w:lineRule="auto"/>
      </w:pPr>
      <w:r>
        <w:rPr>
          <w:sz w:val="21"/>
          <w:szCs w:val="21"/>
        </w:rPr>
        <w:t>Bring baby to the breast rather than leaning your body toward baby.</w:t>
      </w:r>
    </w:p>
    <w:p w14:paraId="647F98DC" w14:textId="77777777" w:rsidR="00A72204" w:rsidRDefault="00F3410C">
      <w:pPr>
        <w:pStyle w:val="ListParagraph"/>
        <w:numPr>
          <w:ilvl w:val="0"/>
          <w:numId w:val="2"/>
        </w:numPr>
        <w:spacing w:after="55" w:line="260" w:lineRule="auto"/>
      </w:pPr>
      <w:r>
        <w:rPr>
          <w:sz w:val="21"/>
          <w:szCs w:val="21"/>
        </w:rPr>
        <w:t>Support your breast if needed, keeping fingers away from where baby needs to latch.</w:t>
      </w:r>
    </w:p>
    <w:p w14:paraId="0E181AEC" w14:textId="77777777" w:rsidR="00A72204" w:rsidRDefault="00F3410C">
      <w:pPr>
        <w:pStyle w:val="Heading1"/>
      </w:pPr>
      <w:r>
        <w:t>Latch Basics</w:t>
      </w:r>
    </w:p>
    <w:p w14:paraId="4DCD91E5" w14:textId="77777777" w:rsidR="00A72204" w:rsidRDefault="00F3410C">
      <w:pPr>
        <w:pStyle w:val="ListParagraph"/>
        <w:numPr>
          <w:ilvl w:val="0"/>
          <w:numId w:val="2"/>
        </w:numPr>
        <w:spacing w:after="55" w:line="260" w:lineRule="auto"/>
      </w:pPr>
      <w:r>
        <w:rPr>
          <w:sz w:val="21"/>
          <w:szCs w:val="21"/>
        </w:rPr>
        <w:t>Aim baby’s nose toward the nipple and wait for a wide-open mouth.</w:t>
      </w:r>
    </w:p>
    <w:p w14:paraId="6262E6F0" w14:textId="77777777" w:rsidR="00A72204" w:rsidRDefault="00F3410C">
      <w:pPr>
        <w:pStyle w:val="ListParagraph"/>
        <w:numPr>
          <w:ilvl w:val="0"/>
          <w:numId w:val="2"/>
        </w:numPr>
        <w:spacing w:after="55" w:line="260" w:lineRule="auto"/>
      </w:pPr>
      <w:r>
        <w:rPr>
          <w:sz w:val="21"/>
          <w:szCs w:val="21"/>
        </w:rPr>
        <w:t>Baby’s chin should touch the breast first.</w:t>
      </w:r>
    </w:p>
    <w:p w14:paraId="074282D9" w14:textId="77777777" w:rsidR="00A72204" w:rsidRDefault="00F3410C">
      <w:pPr>
        <w:pStyle w:val="ListParagraph"/>
        <w:numPr>
          <w:ilvl w:val="0"/>
          <w:numId w:val="2"/>
        </w:numPr>
        <w:spacing w:after="55" w:line="260" w:lineRule="auto"/>
      </w:pPr>
      <w:r>
        <w:rPr>
          <w:sz w:val="21"/>
          <w:szCs w:val="21"/>
        </w:rPr>
        <w:t>More areola is often visible above the upper lip than below the lower lip.</w:t>
      </w:r>
    </w:p>
    <w:p w14:paraId="1DA26366" w14:textId="77777777" w:rsidR="00A72204" w:rsidRDefault="00F3410C">
      <w:pPr>
        <w:pStyle w:val="ListParagraph"/>
        <w:numPr>
          <w:ilvl w:val="0"/>
          <w:numId w:val="2"/>
        </w:numPr>
        <w:spacing w:after="55" w:line="260" w:lineRule="auto"/>
      </w:pPr>
      <w:r>
        <w:rPr>
          <w:sz w:val="21"/>
          <w:szCs w:val="21"/>
        </w:rPr>
        <w:t>Pain that continues through the feeding is a sign to break suction and try again.</w:t>
      </w:r>
    </w:p>
    <w:p w14:paraId="79CC0C1B" w14:textId="77777777" w:rsidR="00A72204" w:rsidRDefault="00F3410C">
      <w:pPr>
        <w:pStyle w:val="Heading1"/>
      </w:pPr>
      <w:r>
        <w:t>Feeding Cues</w:t>
      </w:r>
    </w:p>
    <w:p w14:paraId="23F94FA9" w14:textId="77777777" w:rsidR="00A72204" w:rsidRDefault="00F3410C">
      <w:pPr>
        <w:pStyle w:val="ListParagraph"/>
        <w:numPr>
          <w:ilvl w:val="0"/>
          <w:numId w:val="2"/>
        </w:numPr>
        <w:spacing w:after="55" w:line="260" w:lineRule="auto"/>
      </w:pPr>
      <w:r>
        <w:rPr>
          <w:sz w:val="21"/>
          <w:szCs w:val="21"/>
        </w:rPr>
        <w:t>Early hunger cues include stirring, rooting, lip smacking, and bringing hands to mouth.</w:t>
      </w:r>
    </w:p>
    <w:p w14:paraId="2E71D6F2" w14:textId="77777777" w:rsidR="00A72204" w:rsidRDefault="00F3410C">
      <w:pPr>
        <w:pStyle w:val="ListParagraph"/>
        <w:numPr>
          <w:ilvl w:val="0"/>
          <w:numId w:val="2"/>
        </w:numPr>
        <w:spacing w:after="55" w:line="260" w:lineRule="auto"/>
      </w:pPr>
      <w:r>
        <w:rPr>
          <w:sz w:val="21"/>
          <w:szCs w:val="21"/>
        </w:rPr>
        <w:t>Crying is a late hunger cue; calming baby first can make latch easier.</w:t>
      </w:r>
    </w:p>
    <w:p w14:paraId="604FBF81" w14:textId="77777777" w:rsidR="00A72204" w:rsidRDefault="00F3410C">
      <w:pPr>
        <w:pStyle w:val="ListParagraph"/>
        <w:numPr>
          <w:ilvl w:val="0"/>
          <w:numId w:val="2"/>
        </w:numPr>
        <w:spacing w:after="55" w:line="260" w:lineRule="auto"/>
      </w:pPr>
      <w:r>
        <w:rPr>
          <w:sz w:val="21"/>
          <w:szCs w:val="21"/>
        </w:rPr>
        <w:t>Frequent feeding is normal in the early days while milk supply is building.</w:t>
      </w:r>
    </w:p>
    <w:p w14:paraId="6E729D8A" w14:textId="77777777" w:rsidR="00A72204" w:rsidRDefault="00F3410C">
      <w:pPr>
        <w:pStyle w:val="Heading1"/>
      </w:pPr>
      <w:r>
        <w:t>When to Get Help</w:t>
      </w:r>
    </w:p>
    <w:tbl>
      <w:tblPr>
        <w:tblW w:w="9360" w:type="dxa"/>
        <w:tblBorders>
          <w:top w:val="single" w:sz="4" w:space="0" w:color="C9D3DF"/>
          <w:left w:val="single" w:sz="4" w:space="0" w:color="C9D3DF"/>
          <w:bottom w:val="single" w:sz="4" w:space="0" w:color="C9D3DF"/>
          <w:right w:val="single" w:sz="4" w:space="0" w:color="C9D3DF"/>
          <w:insideH w:val="single" w:sz="4" w:space="0" w:color="C9D3DF"/>
          <w:insideV w:val="single" w:sz="4" w:space="0" w:color="C9D3DF"/>
        </w:tblBorders>
        <w:tblCellMar>
          <w:left w:w="10" w:type="dxa"/>
          <w:right w:w="10" w:type="dxa"/>
        </w:tblCellMar>
        <w:tblLook w:val="04A0" w:firstRow="1" w:lastRow="0" w:firstColumn="1" w:lastColumn="0" w:noHBand="0" w:noVBand="1"/>
      </w:tblPr>
      <w:tblGrid>
        <w:gridCol w:w="9360"/>
      </w:tblGrid>
      <w:tr w:rsidR="00A72204" w14:paraId="10B43428" w14:textId="77777777">
        <w:tblPrEx>
          <w:tblCellMar>
            <w:top w:w="0" w:type="dxa"/>
            <w:bottom w:w="0" w:type="dxa"/>
          </w:tblCellMar>
        </w:tblPrEx>
        <w:tc>
          <w:tcPr>
            <w:tcW w:w="0" w:type="auto"/>
            <w:tcBorders>
              <w:top w:val="single" w:sz="4" w:space="0" w:color="C9D3DF"/>
              <w:left w:val="single" w:sz="4" w:space="0" w:color="C9D3DF"/>
              <w:bottom w:val="single" w:sz="4" w:space="0" w:color="C9D3DF"/>
              <w:right w:val="single" w:sz="4" w:space="0" w:color="C9D3DF"/>
            </w:tcBorders>
            <w:shd w:val="clear" w:color="auto" w:fill="F4F6F9"/>
            <w:tcMar>
              <w:top w:w="110" w:type="dxa"/>
              <w:left w:w="140" w:type="dxa"/>
              <w:bottom w:w="100" w:type="dxa"/>
              <w:right w:w="140" w:type="dxa"/>
            </w:tcMar>
          </w:tcPr>
          <w:p w14:paraId="3E12A3A1" w14:textId="77777777" w:rsidR="00A72204" w:rsidRDefault="00F3410C">
            <w:pPr>
              <w:spacing w:after="45"/>
            </w:pPr>
            <w:r>
              <w:rPr>
                <w:b/>
                <w:bCs/>
                <w:color w:val="9B1C1C"/>
                <w:sz w:val="20"/>
                <w:szCs w:val="20"/>
              </w:rPr>
              <w:t>Reach out for support</w:t>
            </w:r>
          </w:p>
          <w:p w14:paraId="6C1C31ED" w14:textId="77777777" w:rsidR="00A72204" w:rsidRDefault="00F3410C">
            <w:pPr>
              <w:spacing w:after="0" w:line="260" w:lineRule="auto"/>
            </w:pPr>
            <w:r>
              <w:rPr>
                <w:sz w:val="20"/>
                <w:szCs w:val="20"/>
              </w:rPr>
              <w:t>Contact your lactation consultant or healthcare provider if feeds are consistently painful, baby is not making expected diapers, baby is sleepy and hard to wake for feeds, or you are worried about weight gain.</w:t>
            </w:r>
          </w:p>
        </w:tc>
      </w:tr>
    </w:tbl>
    <w:p w14:paraId="6C419B1A" w14:textId="77777777" w:rsidR="00A72204" w:rsidRDefault="00A72204"/>
    <w:p w14:paraId="2BE8139B" w14:textId="77777777" w:rsidR="00A72204" w:rsidRDefault="00F3410C">
      <w:pPr>
        <w:spacing w:after="70" w:line="240" w:lineRule="auto"/>
      </w:pPr>
      <w:r>
        <w:rPr>
          <w:color w:val="5B6472"/>
          <w:sz w:val="18"/>
          <w:szCs w:val="18"/>
        </w:rPr>
        <w:t>This handout is for general education and does not replace individualized medical care. Contact your lactation consultant or healthcare provider with concerns.</w:t>
      </w:r>
    </w:p>
    <w:sectPr w:rsidR="00A72204">
      <w:headerReference w:type="default" r:id="rId7"/>
      <w:footerReference w:type="default" r:id="rId8"/>
      <w:pgSz w:w="11906" w:h="16838"/>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20D6F" w14:textId="77777777" w:rsidR="00F3410C" w:rsidRDefault="00F3410C">
      <w:pPr>
        <w:spacing w:after="0" w:line="240" w:lineRule="auto"/>
      </w:pPr>
      <w:r>
        <w:separator/>
      </w:r>
    </w:p>
  </w:endnote>
  <w:endnote w:type="continuationSeparator" w:id="0">
    <w:p w14:paraId="1CA0B312" w14:textId="77777777" w:rsidR="00F3410C" w:rsidRDefault="00F34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6319" w14:textId="77777777" w:rsidR="00A72204" w:rsidRDefault="00F3410C">
    <w:pPr>
      <w:spacing w:after="0"/>
      <w:jc w:val="right"/>
    </w:pPr>
    <w:r>
      <w:rPr>
        <w:color w:val="5B6472"/>
        <w:sz w:val="18"/>
        <w:szCs w:val="18"/>
      </w:rPr>
      <w:t xml:space="preserve">Page </w:t>
    </w:r>
    <w:r>
      <w:rPr>
        <w:color w:val="5B6472"/>
        <w:sz w:val="18"/>
        <w:szCs w:val="18"/>
      </w:rPr>
      <w:fldChar w:fldCharType="begin"/>
    </w:r>
    <w:r>
      <w:rPr>
        <w:color w:val="5B6472"/>
        <w:sz w:val="18"/>
        <w:szCs w:val="18"/>
      </w:rPr>
      <w:instrText>PAGE</w:instrText>
    </w:r>
    <w:r>
      <w:rPr>
        <w:color w:val="5B6472"/>
        <w:sz w:val="18"/>
        <w:szCs w:val="18"/>
      </w:rPr>
      <w:fldChar w:fldCharType="separate"/>
    </w:r>
    <w:r w:rsidR="00712981">
      <w:rPr>
        <w:noProof/>
        <w:color w:val="5B6472"/>
        <w:sz w:val="18"/>
        <w:szCs w:val="18"/>
      </w:rPr>
      <w:t>1</w:t>
    </w:r>
    <w:r>
      <w:rPr>
        <w:color w:val="5B6472"/>
        <w:sz w:val="18"/>
        <w:szCs w:val="18"/>
      </w:rPr>
      <w:fldChar w:fldCharType="end"/>
    </w:r>
    <w:r>
      <w:rPr>
        <w:color w:val="5B6472"/>
        <w:sz w:val="18"/>
        <w:szCs w:val="18"/>
      </w:rPr>
      <w:t xml:space="preserve"> of </w:t>
    </w:r>
    <w:r>
      <w:rPr>
        <w:color w:val="5B6472"/>
        <w:sz w:val="18"/>
        <w:szCs w:val="18"/>
      </w:rPr>
      <w:fldChar w:fldCharType="begin"/>
    </w:r>
    <w:r>
      <w:rPr>
        <w:color w:val="5B6472"/>
        <w:sz w:val="18"/>
        <w:szCs w:val="18"/>
      </w:rPr>
      <w:instrText>NUMPAGES</w:instrText>
    </w:r>
    <w:r>
      <w:rPr>
        <w:color w:val="5B6472"/>
        <w:sz w:val="18"/>
        <w:szCs w:val="18"/>
      </w:rPr>
      <w:fldChar w:fldCharType="separate"/>
    </w:r>
    <w:r w:rsidR="00712981">
      <w:rPr>
        <w:noProof/>
        <w:color w:val="5B6472"/>
        <w:sz w:val="18"/>
        <w:szCs w:val="18"/>
      </w:rPr>
      <w:t>1</w:t>
    </w:r>
    <w:r>
      <w:rPr>
        <w:color w:val="5B6472"/>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D778" w14:textId="77777777" w:rsidR="00F3410C" w:rsidRDefault="00F3410C">
      <w:pPr>
        <w:spacing w:after="0" w:line="240" w:lineRule="auto"/>
      </w:pPr>
      <w:r>
        <w:separator/>
      </w:r>
    </w:p>
  </w:footnote>
  <w:footnote w:type="continuationSeparator" w:id="0">
    <w:p w14:paraId="326DB384" w14:textId="77777777" w:rsidR="00F3410C" w:rsidRDefault="00F34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AC12" w14:textId="77777777" w:rsidR="00A72204" w:rsidRDefault="00F3410C">
    <w:pPr>
      <w:spacing w:after="0"/>
      <w:jc w:val="right"/>
    </w:pPr>
    <w:r>
      <w:rPr>
        <w:b/>
        <w:bCs/>
        <w:color w:val="5B6472"/>
        <w:sz w:val="18"/>
        <w:szCs w:val="18"/>
      </w:rPr>
      <w:t>Breastfeeding Basics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721"/>
    <w:multiLevelType w:val="hybridMultilevel"/>
    <w:tmpl w:val="19AEA458"/>
    <w:lvl w:ilvl="0" w:tplc="3D60D734">
      <w:start w:val="1"/>
      <w:numFmt w:val="bullet"/>
      <w:lvlText w:val="•"/>
      <w:lvlJc w:val="left"/>
      <w:pPr>
        <w:ind w:left="360" w:hanging="260"/>
      </w:pPr>
      <w:rPr>
        <w:rFonts w:ascii="Symbol" w:eastAsia="Symbol" w:hAnsi="Symbol" w:cs="Symbol"/>
      </w:rPr>
    </w:lvl>
    <w:lvl w:ilvl="1" w:tplc="808A9016">
      <w:numFmt w:val="decimal"/>
      <w:lvlText w:val=""/>
      <w:lvlJc w:val="left"/>
    </w:lvl>
    <w:lvl w:ilvl="2" w:tplc="40B00516">
      <w:numFmt w:val="decimal"/>
      <w:lvlText w:val=""/>
      <w:lvlJc w:val="left"/>
    </w:lvl>
    <w:lvl w:ilvl="3" w:tplc="78AA9A3C">
      <w:numFmt w:val="decimal"/>
      <w:lvlText w:val=""/>
      <w:lvlJc w:val="left"/>
    </w:lvl>
    <w:lvl w:ilvl="4" w:tplc="8B68BFD6">
      <w:numFmt w:val="decimal"/>
      <w:lvlText w:val=""/>
      <w:lvlJc w:val="left"/>
    </w:lvl>
    <w:lvl w:ilvl="5" w:tplc="144E7482">
      <w:numFmt w:val="decimal"/>
      <w:lvlText w:val=""/>
      <w:lvlJc w:val="left"/>
    </w:lvl>
    <w:lvl w:ilvl="6" w:tplc="0DC6D8E4">
      <w:numFmt w:val="decimal"/>
      <w:lvlText w:val=""/>
      <w:lvlJc w:val="left"/>
    </w:lvl>
    <w:lvl w:ilvl="7" w:tplc="57E67E68">
      <w:numFmt w:val="decimal"/>
      <w:lvlText w:val=""/>
      <w:lvlJc w:val="left"/>
    </w:lvl>
    <w:lvl w:ilvl="8" w:tplc="E0C0A7DC">
      <w:numFmt w:val="decimal"/>
      <w:lvlText w:val=""/>
      <w:lvlJc w:val="left"/>
    </w:lvl>
  </w:abstractNum>
  <w:abstractNum w:abstractNumId="1" w15:restartNumberingAfterBreak="0">
    <w:nsid w:val="60462BC0"/>
    <w:multiLevelType w:val="hybridMultilevel"/>
    <w:tmpl w:val="050E529E"/>
    <w:lvl w:ilvl="0" w:tplc="E8DA9AAC">
      <w:start w:val="1"/>
      <w:numFmt w:val="bullet"/>
      <w:lvlText w:val="●"/>
      <w:lvlJc w:val="left"/>
      <w:pPr>
        <w:ind w:left="720" w:hanging="360"/>
      </w:pPr>
    </w:lvl>
    <w:lvl w:ilvl="1" w:tplc="32EE2210">
      <w:start w:val="1"/>
      <w:numFmt w:val="bullet"/>
      <w:lvlText w:val="○"/>
      <w:lvlJc w:val="left"/>
      <w:pPr>
        <w:ind w:left="1440" w:hanging="360"/>
      </w:pPr>
    </w:lvl>
    <w:lvl w:ilvl="2" w:tplc="488C85D6">
      <w:start w:val="1"/>
      <w:numFmt w:val="bullet"/>
      <w:lvlText w:val="■"/>
      <w:lvlJc w:val="left"/>
      <w:pPr>
        <w:ind w:left="2160" w:hanging="360"/>
      </w:pPr>
    </w:lvl>
    <w:lvl w:ilvl="3" w:tplc="0BFC0E2C">
      <w:start w:val="1"/>
      <w:numFmt w:val="bullet"/>
      <w:lvlText w:val="●"/>
      <w:lvlJc w:val="left"/>
      <w:pPr>
        <w:ind w:left="2880" w:hanging="360"/>
      </w:pPr>
    </w:lvl>
    <w:lvl w:ilvl="4" w:tplc="29DEB05E">
      <w:start w:val="1"/>
      <w:numFmt w:val="bullet"/>
      <w:lvlText w:val="○"/>
      <w:lvlJc w:val="left"/>
      <w:pPr>
        <w:ind w:left="3600" w:hanging="360"/>
      </w:pPr>
    </w:lvl>
    <w:lvl w:ilvl="5" w:tplc="AC2E0412">
      <w:start w:val="1"/>
      <w:numFmt w:val="bullet"/>
      <w:lvlText w:val="■"/>
      <w:lvlJc w:val="left"/>
      <w:pPr>
        <w:ind w:left="4320" w:hanging="360"/>
      </w:pPr>
    </w:lvl>
    <w:lvl w:ilvl="6" w:tplc="9B8E0860">
      <w:start w:val="1"/>
      <w:numFmt w:val="bullet"/>
      <w:lvlText w:val="●"/>
      <w:lvlJc w:val="left"/>
      <w:pPr>
        <w:ind w:left="5040" w:hanging="360"/>
      </w:pPr>
    </w:lvl>
    <w:lvl w:ilvl="7" w:tplc="AD74E23C">
      <w:start w:val="1"/>
      <w:numFmt w:val="bullet"/>
      <w:lvlText w:val="●"/>
      <w:lvlJc w:val="left"/>
      <w:pPr>
        <w:ind w:left="5760" w:hanging="360"/>
      </w:pPr>
    </w:lvl>
    <w:lvl w:ilvl="8" w:tplc="A2A4E7AA">
      <w:start w:val="1"/>
      <w:numFmt w:val="bullet"/>
      <w:lvlText w:val="●"/>
      <w:lvlJc w:val="left"/>
      <w:pPr>
        <w:ind w:left="6480" w:hanging="360"/>
      </w:pPr>
    </w:lvl>
  </w:abstractNum>
  <w:num w:numId="1" w16cid:durableId="1749691115">
    <w:abstractNumId w:val="1"/>
    <w:lvlOverride w:ilvl="0">
      <w:startOverride w:val="1"/>
    </w:lvlOverride>
  </w:num>
  <w:num w:numId="2" w16cid:durableId="17747434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204"/>
    <w:rsid w:val="00712981"/>
    <w:rsid w:val="00953F90"/>
    <w:rsid w:val="00A72204"/>
    <w:rsid w:val="00F34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3DCB"/>
  <w15:docId w15:val="{1E0115CD-2949-45CA-9C00-B4B9C5A5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937"/>
        <w:sz w:val="22"/>
        <w:szCs w:val="22"/>
        <w:lang w:val="en-US"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50" w:after="75"/>
      <w:outlineLvl w:val="0"/>
    </w:pPr>
    <w:rPr>
      <w:b/>
      <w:bCs/>
      <w:color w:val="2E74B5"/>
      <w:sz w:val="25"/>
      <w:szCs w:val="25"/>
    </w:rPr>
  </w:style>
  <w:style w:type="paragraph" w:styleId="Heading2">
    <w:name w:val="heading 2"/>
    <w:uiPriority w:val="9"/>
    <w:semiHidden/>
    <w:unhideWhenUsed/>
    <w:qFormat/>
    <w:pPr>
      <w:spacing w:before="120" w:after="60"/>
      <w:outlineLvl w:val="1"/>
    </w:pPr>
    <w:rPr>
      <w:b/>
      <w:bCs/>
      <w:color w:val="1F4D7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Breastfeeding Basics</dc:title>
  <dc:creator>OpenAI Codex</dc:creator>
  <dc:description>Patient lactation education handout</dc:description>
  <cp:lastModifiedBy>Rachael Lara</cp:lastModifiedBy>
  <cp:revision>2</cp:revision>
  <dcterms:created xsi:type="dcterms:W3CDTF">2026-06-26T21:05:00Z</dcterms:created>
  <dcterms:modified xsi:type="dcterms:W3CDTF">2026-06-26T21:05:00Z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b9738472-e6f6-4d4c-bcc9-0e37ffbbd08c</vt:lpwstr>
  </property>
</Properties>
</file>